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83D8" w14:textId="353C5977" w:rsidR="004E7FB3" w:rsidRPr="00353EA2" w:rsidRDefault="004E7FB3" w:rsidP="00353EA2">
      <w:pPr>
        <w:pBdr>
          <w:top w:val="single" w:sz="4" w:space="1" w:color="auto"/>
          <w:left w:val="single" w:sz="4" w:space="4" w:color="auto"/>
          <w:bottom w:val="single" w:sz="4" w:space="1" w:color="auto"/>
          <w:right w:val="single" w:sz="4" w:space="4" w:color="auto"/>
        </w:pBdr>
        <w:shd w:val="clear" w:color="auto" w:fill="FFC000" w:themeFill="accent4"/>
        <w:jc w:val="center"/>
        <w:rPr>
          <w:sz w:val="48"/>
          <w:szCs w:val="48"/>
        </w:rPr>
      </w:pPr>
      <w:r w:rsidRPr="00353EA2">
        <w:rPr>
          <w:sz w:val="48"/>
          <w:szCs w:val="48"/>
        </w:rPr>
        <w:t>Peut-on voler une information ?</w:t>
      </w:r>
    </w:p>
    <w:p w14:paraId="43FA0D3F" w14:textId="66C209C0" w:rsidR="00353EA2" w:rsidRDefault="00353EA2" w:rsidP="00353EA2">
      <w:pPr>
        <w:rPr>
          <w:rFonts w:asciiTheme="majorHAnsi" w:eastAsiaTheme="majorEastAsia" w:hAnsiTheme="majorHAnsi" w:cstheme="majorBidi"/>
          <w:b/>
          <w:bCs/>
          <w:color w:val="2F5496" w:themeColor="accent1" w:themeShade="BF"/>
          <w:sz w:val="28"/>
          <w:szCs w:val="28"/>
          <w:lang w:eastAsia="fr-FR"/>
        </w:rPr>
      </w:pPr>
    </w:p>
    <w:p w14:paraId="3CFCEE7B" w14:textId="4E55B575" w:rsidR="00557CDC" w:rsidRDefault="00557CDC" w:rsidP="00353EA2">
      <w:pPr>
        <w:rPr>
          <w:rFonts w:asciiTheme="majorHAnsi" w:eastAsiaTheme="majorEastAsia" w:hAnsiTheme="majorHAnsi" w:cstheme="majorBidi"/>
          <w:b/>
          <w:bCs/>
          <w:color w:val="2F5496" w:themeColor="accent1" w:themeShade="BF"/>
          <w:sz w:val="28"/>
          <w:szCs w:val="28"/>
          <w:lang w:eastAsia="fr-FR"/>
        </w:rPr>
      </w:pPr>
    </w:p>
    <w:p w14:paraId="491F1C00" w14:textId="49820550" w:rsidR="00557CDC" w:rsidRDefault="00557CDC" w:rsidP="00353EA2">
      <w:pPr>
        <w:rPr>
          <w:rFonts w:asciiTheme="majorHAnsi" w:eastAsiaTheme="majorEastAsia" w:hAnsiTheme="majorHAnsi" w:cstheme="majorBidi"/>
          <w:b/>
          <w:bCs/>
          <w:color w:val="2F5496" w:themeColor="accent1" w:themeShade="BF"/>
          <w:sz w:val="28"/>
          <w:szCs w:val="28"/>
          <w:lang w:eastAsia="fr-FR"/>
        </w:rPr>
      </w:pPr>
    </w:p>
    <w:p w14:paraId="1C12BBAF" w14:textId="77777777" w:rsidR="00557CDC" w:rsidRDefault="00557CDC" w:rsidP="00353EA2">
      <w:pPr>
        <w:rPr>
          <w:rFonts w:asciiTheme="majorHAnsi" w:eastAsiaTheme="majorEastAsia" w:hAnsiTheme="majorHAnsi" w:cstheme="majorBidi"/>
          <w:b/>
          <w:bCs/>
          <w:color w:val="2F5496" w:themeColor="accent1" w:themeShade="BF"/>
          <w:sz w:val="28"/>
          <w:szCs w:val="28"/>
          <w:lang w:eastAsia="fr-FR"/>
        </w:rPr>
      </w:pPr>
    </w:p>
    <w:sdt>
      <w:sdtPr>
        <w:rPr>
          <w:rFonts w:asciiTheme="minorHAnsi" w:eastAsiaTheme="minorHAnsi" w:hAnsiTheme="minorHAnsi" w:cstheme="minorBidi"/>
          <w:b w:val="0"/>
          <w:bCs w:val="0"/>
          <w:color w:val="auto"/>
          <w:sz w:val="24"/>
          <w:szCs w:val="24"/>
          <w:lang w:eastAsia="en-US"/>
        </w:rPr>
        <w:id w:val="1845743040"/>
        <w:docPartObj>
          <w:docPartGallery w:val="Table of Contents"/>
          <w:docPartUnique/>
        </w:docPartObj>
      </w:sdtPr>
      <w:sdtEndPr>
        <w:rPr>
          <w:noProof/>
        </w:rPr>
      </w:sdtEndPr>
      <w:sdtContent>
        <w:p w14:paraId="33F7BDD1" w14:textId="43DE0211" w:rsidR="00353EA2" w:rsidRDefault="00353EA2">
          <w:pPr>
            <w:pStyle w:val="En-ttedetabledesmatires"/>
          </w:pPr>
          <w:r>
            <w:t>Table des matières</w:t>
          </w:r>
        </w:p>
        <w:p w14:paraId="49479D76" w14:textId="2E86F715" w:rsidR="00DB6F58" w:rsidRDefault="00353EA2">
          <w:pPr>
            <w:pStyle w:val="TM1"/>
            <w:tabs>
              <w:tab w:val="right" w:leader="dot" w:pos="9056"/>
            </w:tabs>
            <w:rPr>
              <w:rFonts w:eastAsiaTheme="minorEastAsia" w:cstheme="minorBidi"/>
              <w:b w:val="0"/>
              <w:bCs w:val="0"/>
              <w:i w:val="0"/>
              <w:iCs w:val="0"/>
              <w:noProof/>
              <w:lang w:eastAsia="fr-FR"/>
            </w:rPr>
          </w:pPr>
          <w:r>
            <w:rPr>
              <w:b w:val="0"/>
              <w:bCs w:val="0"/>
            </w:rPr>
            <w:fldChar w:fldCharType="begin"/>
          </w:r>
          <w:r>
            <w:instrText>TOC \o "1-3" \h \z \u</w:instrText>
          </w:r>
          <w:r>
            <w:rPr>
              <w:b w:val="0"/>
              <w:bCs w:val="0"/>
            </w:rPr>
            <w:fldChar w:fldCharType="separate"/>
          </w:r>
          <w:hyperlink w:anchor="_Toc124490902" w:history="1">
            <w:r w:rsidR="00DB6F58" w:rsidRPr="00990C06">
              <w:rPr>
                <w:rStyle w:val="Lienhypertexte"/>
                <w:noProof/>
              </w:rPr>
              <w:t>Introduction</w:t>
            </w:r>
            <w:r w:rsidR="00DB6F58">
              <w:rPr>
                <w:noProof/>
                <w:webHidden/>
              </w:rPr>
              <w:tab/>
            </w:r>
            <w:r w:rsidR="00DB6F58">
              <w:rPr>
                <w:noProof/>
                <w:webHidden/>
              </w:rPr>
              <w:fldChar w:fldCharType="begin"/>
            </w:r>
            <w:r w:rsidR="00DB6F58">
              <w:rPr>
                <w:noProof/>
                <w:webHidden/>
              </w:rPr>
              <w:instrText xml:space="preserve"> PAGEREF _Toc124490902 \h </w:instrText>
            </w:r>
            <w:r w:rsidR="00DB6F58">
              <w:rPr>
                <w:noProof/>
                <w:webHidden/>
              </w:rPr>
            </w:r>
            <w:r w:rsidR="00DB6F58">
              <w:rPr>
                <w:noProof/>
                <w:webHidden/>
              </w:rPr>
              <w:fldChar w:fldCharType="separate"/>
            </w:r>
            <w:r w:rsidR="00DB6F58">
              <w:rPr>
                <w:noProof/>
                <w:webHidden/>
              </w:rPr>
              <w:t>1</w:t>
            </w:r>
            <w:r w:rsidR="00DB6F58">
              <w:rPr>
                <w:noProof/>
                <w:webHidden/>
              </w:rPr>
              <w:fldChar w:fldCharType="end"/>
            </w:r>
          </w:hyperlink>
        </w:p>
        <w:p w14:paraId="5B708138" w14:textId="7D938ACD" w:rsidR="00DB6F58" w:rsidRDefault="00000000">
          <w:pPr>
            <w:pStyle w:val="TM1"/>
            <w:tabs>
              <w:tab w:val="right" w:leader="dot" w:pos="9056"/>
            </w:tabs>
            <w:rPr>
              <w:rFonts w:eastAsiaTheme="minorEastAsia" w:cstheme="minorBidi"/>
              <w:b w:val="0"/>
              <w:bCs w:val="0"/>
              <w:i w:val="0"/>
              <w:iCs w:val="0"/>
              <w:noProof/>
              <w:lang w:eastAsia="fr-FR"/>
            </w:rPr>
          </w:pPr>
          <w:hyperlink w:anchor="_Toc124490903" w:history="1">
            <w:r w:rsidR="00DB6F58" w:rsidRPr="00990C06">
              <w:rPr>
                <w:rStyle w:val="Lienhypertexte"/>
                <w:noProof/>
              </w:rPr>
              <w:t>Étape 1 : le détournement peut porter sur un bien incorporel</w:t>
            </w:r>
            <w:r w:rsidR="00DB6F58">
              <w:rPr>
                <w:noProof/>
                <w:webHidden/>
              </w:rPr>
              <w:tab/>
            </w:r>
            <w:r w:rsidR="00DB6F58">
              <w:rPr>
                <w:noProof/>
                <w:webHidden/>
              </w:rPr>
              <w:fldChar w:fldCharType="begin"/>
            </w:r>
            <w:r w:rsidR="00DB6F58">
              <w:rPr>
                <w:noProof/>
                <w:webHidden/>
              </w:rPr>
              <w:instrText xml:space="preserve"> PAGEREF _Toc124490903 \h </w:instrText>
            </w:r>
            <w:r w:rsidR="00DB6F58">
              <w:rPr>
                <w:noProof/>
                <w:webHidden/>
              </w:rPr>
            </w:r>
            <w:r w:rsidR="00DB6F58">
              <w:rPr>
                <w:noProof/>
                <w:webHidden/>
              </w:rPr>
              <w:fldChar w:fldCharType="separate"/>
            </w:r>
            <w:r w:rsidR="00DB6F58">
              <w:rPr>
                <w:noProof/>
                <w:webHidden/>
              </w:rPr>
              <w:t>3</w:t>
            </w:r>
            <w:r w:rsidR="00DB6F58">
              <w:rPr>
                <w:noProof/>
                <w:webHidden/>
              </w:rPr>
              <w:fldChar w:fldCharType="end"/>
            </w:r>
          </w:hyperlink>
        </w:p>
        <w:p w14:paraId="061A3AE2" w14:textId="7C851EFE" w:rsidR="00DB6F58" w:rsidRDefault="00000000">
          <w:pPr>
            <w:pStyle w:val="TM1"/>
            <w:tabs>
              <w:tab w:val="right" w:leader="dot" w:pos="9056"/>
            </w:tabs>
            <w:rPr>
              <w:rFonts w:eastAsiaTheme="minorEastAsia" w:cstheme="minorBidi"/>
              <w:b w:val="0"/>
              <w:bCs w:val="0"/>
              <w:i w:val="0"/>
              <w:iCs w:val="0"/>
              <w:noProof/>
              <w:lang w:eastAsia="fr-FR"/>
            </w:rPr>
          </w:pPr>
          <w:hyperlink w:anchor="_Toc124490904" w:history="1">
            <w:r w:rsidR="00DB6F58" w:rsidRPr="00990C06">
              <w:rPr>
                <w:rStyle w:val="Lienhypertexte"/>
                <w:rFonts w:eastAsia="Times New Roman"/>
                <w:noProof/>
                <w:lang w:eastAsia="fr-FR"/>
              </w:rPr>
              <w:t>Étape 2 : Qu’en est-il du délit de vol concernant des informations ?</w:t>
            </w:r>
            <w:r w:rsidR="00DB6F58">
              <w:rPr>
                <w:noProof/>
                <w:webHidden/>
              </w:rPr>
              <w:tab/>
            </w:r>
            <w:r w:rsidR="00DB6F58">
              <w:rPr>
                <w:noProof/>
                <w:webHidden/>
              </w:rPr>
              <w:fldChar w:fldCharType="begin"/>
            </w:r>
            <w:r w:rsidR="00DB6F58">
              <w:rPr>
                <w:noProof/>
                <w:webHidden/>
              </w:rPr>
              <w:instrText xml:space="preserve"> PAGEREF _Toc124490904 \h </w:instrText>
            </w:r>
            <w:r w:rsidR="00DB6F58">
              <w:rPr>
                <w:noProof/>
                <w:webHidden/>
              </w:rPr>
            </w:r>
            <w:r w:rsidR="00DB6F58">
              <w:rPr>
                <w:noProof/>
                <w:webHidden/>
              </w:rPr>
              <w:fldChar w:fldCharType="separate"/>
            </w:r>
            <w:r w:rsidR="00DB6F58">
              <w:rPr>
                <w:noProof/>
                <w:webHidden/>
              </w:rPr>
              <w:t>3</w:t>
            </w:r>
            <w:r w:rsidR="00DB6F58">
              <w:rPr>
                <w:noProof/>
                <w:webHidden/>
              </w:rPr>
              <w:fldChar w:fldCharType="end"/>
            </w:r>
          </w:hyperlink>
        </w:p>
        <w:p w14:paraId="3751950B" w14:textId="01F6410A" w:rsidR="00DB6F58" w:rsidRDefault="00000000">
          <w:pPr>
            <w:pStyle w:val="TM1"/>
            <w:tabs>
              <w:tab w:val="right" w:leader="dot" w:pos="9056"/>
            </w:tabs>
            <w:rPr>
              <w:rFonts w:eastAsiaTheme="minorEastAsia" w:cstheme="minorBidi"/>
              <w:b w:val="0"/>
              <w:bCs w:val="0"/>
              <w:i w:val="0"/>
              <w:iCs w:val="0"/>
              <w:noProof/>
              <w:lang w:eastAsia="fr-FR"/>
            </w:rPr>
          </w:pPr>
          <w:hyperlink w:anchor="_Toc124490905" w:history="1">
            <w:r w:rsidR="00DB6F58" w:rsidRPr="00990C06">
              <w:rPr>
                <w:rStyle w:val="Lienhypertexte"/>
                <w:rFonts w:eastAsia="Times New Roman"/>
                <w:noProof/>
                <w:lang w:eastAsia="fr-FR"/>
              </w:rPr>
              <w:t>Étape 3 : La question de la portée juridique de l’arrêt du 20 mai 2015</w:t>
            </w:r>
            <w:r w:rsidR="00DB6F58">
              <w:rPr>
                <w:noProof/>
                <w:webHidden/>
              </w:rPr>
              <w:tab/>
            </w:r>
            <w:r w:rsidR="00DB6F58">
              <w:rPr>
                <w:noProof/>
                <w:webHidden/>
              </w:rPr>
              <w:fldChar w:fldCharType="begin"/>
            </w:r>
            <w:r w:rsidR="00DB6F58">
              <w:rPr>
                <w:noProof/>
                <w:webHidden/>
              </w:rPr>
              <w:instrText xml:space="preserve"> PAGEREF _Toc124490905 \h </w:instrText>
            </w:r>
            <w:r w:rsidR="00DB6F58">
              <w:rPr>
                <w:noProof/>
                <w:webHidden/>
              </w:rPr>
            </w:r>
            <w:r w:rsidR="00DB6F58">
              <w:rPr>
                <w:noProof/>
                <w:webHidden/>
              </w:rPr>
              <w:fldChar w:fldCharType="separate"/>
            </w:r>
            <w:r w:rsidR="00DB6F58">
              <w:rPr>
                <w:noProof/>
                <w:webHidden/>
              </w:rPr>
              <w:t>5</w:t>
            </w:r>
            <w:r w:rsidR="00DB6F58">
              <w:rPr>
                <w:noProof/>
                <w:webHidden/>
              </w:rPr>
              <w:fldChar w:fldCharType="end"/>
            </w:r>
          </w:hyperlink>
        </w:p>
        <w:p w14:paraId="4FCF8F87" w14:textId="0FFDDB1D" w:rsidR="00DB6F58" w:rsidRDefault="00000000">
          <w:pPr>
            <w:pStyle w:val="TM1"/>
            <w:tabs>
              <w:tab w:val="right" w:leader="dot" w:pos="9056"/>
            </w:tabs>
            <w:rPr>
              <w:rFonts w:eastAsiaTheme="minorEastAsia" w:cstheme="minorBidi"/>
              <w:b w:val="0"/>
              <w:bCs w:val="0"/>
              <w:i w:val="0"/>
              <w:iCs w:val="0"/>
              <w:noProof/>
              <w:lang w:eastAsia="fr-FR"/>
            </w:rPr>
          </w:pPr>
          <w:hyperlink w:anchor="_Toc124490906" w:history="1">
            <w:r w:rsidR="00DB6F58" w:rsidRPr="00990C06">
              <w:rPr>
                <w:rStyle w:val="Lienhypertexte"/>
                <w:noProof/>
              </w:rPr>
              <w:t>Etape 4 - la solution juridique</w:t>
            </w:r>
            <w:r w:rsidR="00DB6F58">
              <w:rPr>
                <w:noProof/>
                <w:webHidden/>
              </w:rPr>
              <w:tab/>
            </w:r>
            <w:r w:rsidR="00DB6F58">
              <w:rPr>
                <w:noProof/>
                <w:webHidden/>
              </w:rPr>
              <w:fldChar w:fldCharType="begin"/>
            </w:r>
            <w:r w:rsidR="00DB6F58">
              <w:rPr>
                <w:noProof/>
                <w:webHidden/>
              </w:rPr>
              <w:instrText xml:space="preserve"> PAGEREF _Toc124490906 \h </w:instrText>
            </w:r>
            <w:r w:rsidR="00DB6F58">
              <w:rPr>
                <w:noProof/>
                <w:webHidden/>
              </w:rPr>
            </w:r>
            <w:r w:rsidR="00DB6F58">
              <w:rPr>
                <w:noProof/>
                <w:webHidden/>
              </w:rPr>
              <w:fldChar w:fldCharType="separate"/>
            </w:r>
            <w:r w:rsidR="00DB6F58">
              <w:rPr>
                <w:noProof/>
                <w:webHidden/>
              </w:rPr>
              <w:t>7</w:t>
            </w:r>
            <w:r w:rsidR="00DB6F58">
              <w:rPr>
                <w:noProof/>
                <w:webHidden/>
              </w:rPr>
              <w:fldChar w:fldCharType="end"/>
            </w:r>
          </w:hyperlink>
        </w:p>
        <w:p w14:paraId="4239C734" w14:textId="68C20149" w:rsidR="00353EA2" w:rsidRDefault="00353EA2">
          <w:r>
            <w:rPr>
              <w:b/>
              <w:bCs/>
              <w:noProof/>
            </w:rPr>
            <w:fldChar w:fldCharType="end"/>
          </w:r>
        </w:p>
      </w:sdtContent>
    </w:sdt>
    <w:p w14:paraId="28893D0C" w14:textId="77777777" w:rsidR="00353EA2" w:rsidRDefault="00353EA2" w:rsidP="00353EA2"/>
    <w:p w14:paraId="78695190" w14:textId="77777777" w:rsidR="007D17CA" w:rsidRDefault="007D17CA" w:rsidP="00353EA2">
      <w:pPr>
        <w:pStyle w:val="Titre1"/>
      </w:pPr>
      <w:bookmarkStart w:id="0" w:name="_Toc124393154"/>
    </w:p>
    <w:p w14:paraId="6FE2BFF6" w14:textId="057F579B" w:rsidR="00353EA2" w:rsidRDefault="00353EA2" w:rsidP="00353EA2">
      <w:pPr>
        <w:pStyle w:val="Titre1"/>
      </w:pPr>
      <w:bookmarkStart w:id="1" w:name="_Toc124490902"/>
      <w:r>
        <w:t>Introduction</w:t>
      </w:r>
      <w:bookmarkEnd w:id="0"/>
      <w:bookmarkEnd w:id="1"/>
    </w:p>
    <w:p w14:paraId="015098AC" w14:textId="77777777" w:rsidR="007D17CA" w:rsidRPr="007D17CA" w:rsidRDefault="007D17CA" w:rsidP="007D17CA"/>
    <w:p w14:paraId="20A3162E" w14:textId="2B969763" w:rsidR="004E7FB3" w:rsidRDefault="004E7FB3" w:rsidP="004E7FB3"/>
    <w:p w14:paraId="1E2886D0" w14:textId="2836228B" w:rsidR="004E7FB3" w:rsidRPr="007D17CA" w:rsidRDefault="004E7FB3" w:rsidP="007D17CA">
      <w:pPr>
        <w:spacing w:before="100" w:beforeAutospacing="1" w:after="100" w:afterAutospacing="1"/>
        <w:rPr>
          <w:rFonts w:eastAsia="Times New Roman" w:cs="Times New Roman"/>
          <w:lang w:eastAsia="fr-FR"/>
        </w:rPr>
      </w:pPr>
      <w:r w:rsidRPr="00097AF6">
        <w:rPr>
          <w:rFonts w:eastAsia="Times New Roman" w:cs="Times New Roman"/>
          <w:b/>
          <w:bCs/>
          <w:highlight w:val="yellow"/>
          <w:shd w:val="clear" w:color="auto" w:fill="B2B2B2"/>
          <w:lang w:eastAsia="fr-FR"/>
        </w:rPr>
        <w:t xml:space="preserve">REFERENCES LEGISLATIVES </w:t>
      </w:r>
      <w:r w:rsidR="00097AF6" w:rsidRPr="00097AF6">
        <w:rPr>
          <w:rFonts w:eastAsia="Times New Roman" w:cs="Times New Roman"/>
          <w:b/>
          <w:bCs/>
          <w:highlight w:val="yellow"/>
          <w:shd w:val="clear" w:color="auto" w:fill="B2B2B2"/>
          <w:lang w:eastAsia="fr-FR"/>
        </w:rPr>
        <w:t>et définitions</w:t>
      </w:r>
    </w:p>
    <w:p w14:paraId="14BFB1CB" w14:textId="49D2905E" w:rsidR="004E7FB3" w:rsidRPr="00097AF6" w:rsidRDefault="004E7FB3" w:rsidP="007D17CA">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rFonts w:eastAsia="Times New Roman" w:cs="Times New Roman"/>
          <w:lang w:eastAsia="fr-FR"/>
        </w:rPr>
      </w:pPr>
      <w:r w:rsidRPr="00097AF6">
        <w:rPr>
          <w:rFonts w:eastAsia="Times New Roman" w:cs="Times New Roman"/>
          <w:lang w:eastAsia="fr-FR"/>
        </w:rPr>
        <w:t xml:space="preserve">Art. 311-1 CP : </w:t>
      </w:r>
      <w:r w:rsidRPr="00097AF6">
        <w:rPr>
          <w:rFonts w:eastAsia="Times New Roman" w:cs="Times New Roman"/>
          <w:i/>
          <w:iCs/>
          <w:lang w:eastAsia="fr-FR"/>
        </w:rPr>
        <w:t>Le vol est la soustraction frauduleuse de la chose d'autrui.</w:t>
      </w:r>
      <w:r w:rsidRPr="00097AF6">
        <w:rPr>
          <w:rFonts w:eastAsia="Times New Roman" w:cs="Times New Roman"/>
          <w:lang w:eastAsia="fr-FR"/>
        </w:rPr>
        <w:t xml:space="preserve"> </w:t>
      </w:r>
    </w:p>
    <w:p w14:paraId="19146DF3" w14:textId="77777777" w:rsidR="004E7FB3" w:rsidRPr="007D17CA" w:rsidRDefault="004E7FB3" w:rsidP="007D17CA">
      <w:pPr>
        <w:spacing w:line="276" w:lineRule="auto"/>
        <w:jc w:val="both"/>
        <w:rPr>
          <w:lang w:eastAsia="fr-FR"/>
        </w:rPr>
      </w:pPr>
      <w:r w:rsidRPr="007D17CA">
        <w:rPr>
          <w:b/>
          <w:bCs/>
          <w:i/>
          <w:iCs/>
          <w:lang w:eastAsia="fr-FR"/>
        </w:rPr>
        <w:t>Le vol</w:t>
      </w:r>
      <w:r w:rsidRPr="007D17CA">
        <w:rPr>
          <w:lang w:eastAsia="fr-FR"/>
        </w:rPr>
        <w:t xml:space="preserve"> consiste à s’approprier une chose ne nous appartenant pas à l’insu ou contre le gré de son propriétaire. Il s’inscrit donc dans les infractions dites « d’appropriation frauduleuse » au même titre que l’escroquerie, l’extorsion et le détournement.</w:t>
      </w:r>
    </w:p>
    <w:p w14:paraId="3FCAB568" w14:textId="77777777" w:rsidR="004E7FB3" w:rsidRPr="007D17CA" w:rsidRDefault="004E7FB3" w:rsidP="007D17CA">
      <w:pPr>
        <w:spacing w:line="276" w:lineRule="auto"/>
        <w:jc w:val="both"/>
      </w:pPr>
      <w:r w:rsidRPr="007D17CA">
        <w:t xml:space="preserve">Cette infraction s’établit sur trois éléments constitutifs : </w:t>
      </w:r>
      <w:r w:rsidRPr="007D17CA">
        <w:rPr>
          <w:b/>
          <w:bCs/>
        </w:rPr>
        <w:t>un objet, une soustraction et une intention.</w:t>
      </w:r>
    </w:p>
    <w:p w14:paraId="5E9E1E1D" w14:textId="77777777" w:rsidR="004E7FB3" w:rsidRPr="007D17CA" w:rsidRDefault="004E7FB3" w:rsidP="007D17CA">
      <w:pPr>
        <w:spacing w:line="276" w:lineRule="auto"/>
        <w:jc w:val="both"/>
      </w:pPr>
    </w:p>
    <w:p w14:paraId="72F61560" w14:textId="77777777" w:rsidR="004E7FB3" w:rsidRPr="007D17CA" w:rsidRDefault="004E7FB3" w:rsidP="007D17CA">
      <w:pPr>
        <w:spacing w:line="276" w:lineRule="auto"/>
        <w:jc w:val="both"/>
      </w:pPr>
      <w:r w:rsidRPr="007D17CA">
        <w:t xml:space="preserve"> </w:t>
      </w:r>
      <w:r w:rsidRPr="007D17CA">
        <w:rPr>
          <w:highlight w:val="yellow"/>
        </w:rPr>
        <w:t>L’objet : la chose d’autrui</w:t>
      </w:r>
    </w:p>
    <w:p w14:paraId="659EF1B8" w14:textId="77777777" w:rsidR="004E7FB3" w:rsidRPr="007D17CA" w:rsidRDefault="004E7FB3" w:rsidP="007D17CA">
      <w:pPr>
        <w:spacing w:line="276" w:lineRule="auto"/>
        <w:jc w:val="both"/>
      </w:pPr>
    </w:p>
    <w:p w14:paraId="1DAC04C6" w14:textId="07AF33AC" w:rsidR="004E7FB3" w:rsidRPr="007D17CA" w:rsidRDefault="004E7FB3" w:rsidP="007D17CA">
      <w:pPr>
        <w:spacing w:line="276" w:lineRule="auto"/>
        <w:jc w:val="both"/>
      </w:pPr>
      <w:r w:rsidRPr="007D17CA">
        <w:t xml:space="preserve">L’objet indique une chose appartenant à autrui. Cette dernière doit – pour faire l’objet d’un vol – </w:t>
      </w:r>
      <w:r w:rsidR="007D17CA" w:rsidRPr="007D17CA">
        <w:t xml:space="preserve">être </w:t>
      </w:r>
      <w:r w:rsidRPr="007D17CA">
        <w:t xml:space="preserve">susceptible de </w:t>
      </w:r>
      <w:r w:rsidRPr="007D17CA">
        <w:rPr>
          <w:b/>
          <w:bCs/>
        </w:rPr>
        <w:t>soustraction</w:t>
      </w:r>
      <w:r w:rsidRPr="007D17CA">
        <w:t xml:space="preserve"> c’est-à-dire enlevée ou prise.</w:t>
      </w:r>
      <w:r w:rsidRPr="007D17CA">
        <w:br/>
        <w:t xml:space="preserve">Toute chose mobilière peut faire l’objet de cette infraction car elle peut matériellement se transporter d’un lieu à un autre. </w:t>
      </w:r>
    </w:p>
    <w:p w14:paraId="6B3FED1B" w14:textId="7B6AE9D6" w:rsidR="004E7FB3" w:rsidRPr="007D17CA" w:rsidRDefault="004E7FB3" w:rsidP="007D17CA">
      <w:pPr>
        <w:spacing w:line="276" w:lineRule="auto"/>
        <w:jc w:val="both"/>
      </w:pPr>
      <w:r w:rsidRPr="007D17CA">
        <w:t xml:space="preserve">Un immeuble ne peut donc pas faire l’objet de cette infraction, alors que c’est possible pour un immeuble par destination (une moissonneuse -batteuse). </w:t>
      </w:r>
    </w:p>
    <w:p w14:paraId="6BF3DD58" w14:textId="77777777" w:rsidR="007D17CA" w:rsidRPr="007D17CA" w:rsidRDefault="007D17CA" w:rsidP="007D17CA">
      <w:pPr>
        <w:spacing w:line="276" w:lineRule="auto"/>
        <w:jc w:val="both"/>
      </w:pPr>
    </w:p>
    <w:p w14:paraId="0E780219" w14:textId="1F639887" w:rsidR="004E7FB3" w:rsidRDefault="004E7FB3" w:rsidP="007D17CA">
      <w:pPr>
        <w:spacing w:line="276" w:lineRule="auto"/>
        <w:jc w:val="both"/>
        <w:rPr>
          <w:sz w:val="22"/>
          <w:szCs w:val="22"/>
        </w:rPr>
      </w:pPr>
    </w:p>
    <w:p w14:paraId="4ADF44F0" w14:textId="77777777" w:rsidR="00F86A73" w:rsidRDefault="00F86A73" w:rsidP="007D17CA">
      <w:pPr>
        <w:spacing w:line="276" w:lineRule="auto"/>
        <w:jc w:val="both"/>
        <w:rPr>
          <w:sz w:val="22"/>
          <w:szCs w:val="22"/>
        </w:rPr>
      </w:pPr>
    </w:p>
    <w:p w14:paraId="594FEE59" w14:textId="77777777" w:rsidR="007B1C5C" w:rsidRPr="007B1C5C" w:rsidRDefault="00353EA2" w:rsidP="007B1C5C">
      <w:pPr>
        <w:spacing w:line="276" w:lineRule="auto"/>
        <w:jc w:val="both"/>
      </w:pPr>
      <w:r w:rsidRPr="007D17CA">
        <w:rPr>
          <w:highlight w:val="yellow"/>
        </w:rPr>
        <w:t>Mise en problème</w:t>
      </w:r>
      <w:r w:rsidR="007B1C5C">
        <w:t xml:space="preserve"> </w:t>
      </w:r>
      <w:r w:rsidR="007B1C5C" w:rsidRPr="007B1C5C">
        <w:rPr>
          <w:highlight w:val="yellow"/>
        </w:rPr>
        <w:t>et FOCUS sur Les difficultés du droit</w:t>
      </w:r>
      <w:r w:rsidR="007B1C5C" w:rsidRPr="007B1C5C">
        <w:t> </w:t>
      </w:r>
    </w:p>
    <w:p w14:paraId="716D398E" w14:textId="6A77C20B" w:rsidR="00353EA2" w:rsidRPr="007D17CA" w:rsidRDefault="00353EA2" w:rsidP="007D17CA">
      <w:pPr>
        <w:spacing w:line="276" w:lineRule="auto"/>
        <w:jc w:val="both"/>
      </w:pPr>
    </w:p>
    <w:p w14:paraId="497DB796" w14:textId="3A02F68E" w:rsidR="00353EA2" w:rsidRPr="00097AF6" w:rsidRDefault="00097AF6" w:rsidP="007D17CA">
      <w:pPr>
        <w:spacing w:line="276" w:lineRule="auto"/>
        <w:jc w:val="both"/>
      </w:pPr>
      <w:r w:rsidRPr="00097AF6">
        <w:rPr>
          <w:highlight w:val="cyan"/>
        </w:rPr>
        <w:t>Cours dialogué</w:t>
      </w:r>
      <w:r w:rsidRPr="00097AF6">
        <w:t xml:space="preserve"> </w:t>
      </w:r>
    </w:p>
    <w:p w14:paraId="157E9CC1" w14:textId="74CB4451" w:rsidR="00B87516" w:rsidRDefault="00B87516" w:rsidP="00B87516">
      <w:pPr>
        <w:spacing w:line="276" w:lineRule="auto"/>
        <w:jc w:val="both"/>
        <w:rPr>
          <w:b/>
          <w:bCs/>
          <w:u w:val="single"/>
        </w:rPr>
      </w:pPr>
    </w:p>
    <w:p w14:paraId="2FA10919" w14:textId="77777777" w:rsidR="00F86A73" w:rsidRPr="00F86A73" w:rsidRDefault="00F86A73" w:rsidP="00F86A73">
      <w:pPr>
        <w:spacing w:line="276" w:lineRule="auto"/>
        <w:jc w:val="both"/>
        <w:rPr>
          <w:rFonts w:eastAsia="Times New Roman" w:cstheme="minorHAnsi"/>
          <w:b/>
          <w:bCs/>
          <w:lang w:eastAsia="fr-FR"/>
        </w:rPr>
      </w:pPr>
      <w:r w:rsidRPr="00097AF6">
        <w:rPr>
          <w:b/>
          <w:bCs/>
          <w:u w:val="single"/>
        </w:rPr>
        <w:t>D’une part</w:t>
      </w:r>
      <w:r>
        <w:rPr>
          <w:b/>
          <w:bCs/>
        </w:rPr>
        <w:t xml:space="preserve"> se pose la question</w:t>
      </w:r>
      <w:r w:rsidRPr="00B87516">
        <w:rPr>
          <w:b/>
          <w:bCs/>
        </w:rPr>
        <w:t xml:space="preserve"> de savoir si </w:t>
      </w:r>
      <w:r w:rsidRPr="00097AF6">
        <w:rPr>
          <w:b/>
          <w:bCs/>
          <w:u w:val="single"/>
        </w:rPr>
        <w:t>« la chose » doit être nécessairement corporelle</w:t>
      </w:r>
      <w:r w:rsidRPr="00B87516">
        <w:rPr>
          <w:b/>
          <w:bCs/>
        </w:rPr>
        <w:t xml:space="preserve">. </w:t>
      </w:r>
      <w:r w:rsidRPr="00557CDC">
        <w:rPr>
          <w:rFonts w:eastAsia="Times New Roman" w:cstheme="minorHAnsi"/>
          <w:lang w:eastAsia="fr-FR"/>
        </w:rPr>
        <w:t>La jurisprudence retenait la qualification de vol seulement s’il y av</w:t>
      </w:r>
      <w:r w:rsidRPr="00557CDC">
        <w:rPr>
          <w:rFonts w:cstheme="minorHAnsi"/>
        </w:rPr>
        <w:t>ait</w:t>
      </w:r>
      <w:r w:rsidRPr="00557CDC">
        <w:rPr>
          <w:rFonts w:eastAsia="Times New Roman" w:cstheme="minorHAnsi"/>
          <w:lang w:eastAsia="fr-FR"/>
        </w:rPr>
        <w:t xml:space="preserve"> soustraction du support matériel contenant l’information (exemple, vol d’une disquette).</w:t>
      </w:r>
      <w:r>
        <w:rPr>
          <w:rFonts w:eastAsia="Times New Roman" w:cstheme="minorHAnsi"/>
          <w:lang w:eastAsia="fr-FR"/>
        </w:rPr>
        <w:t xml:space="preserve"> Mais les nouvelles technologies ont rendu possible l’appropriation de données sans qu’il y ait vol d’un support matériel : la qualification de vol peut-elle s’appliquer aux données numériques ? </w:t>
      </w:r>
      <w:r w:rsidRPr="00F86A73">
        <w:rPr>
          <w:rFonts w:eastAsia="Times New Roman" w:cstheme="minorHAnsi"/>
          <w:b/>
          <w:bCs/>
          <w:lang w:eastAsia="fr-FR"/>
        </w:rPr>
        <w:t>Les données informatiques peuvent-elles, en l’absence de tout support matériel faire l’objet d’une « soustraction », au sens de l’article 311-1 du Code pénal ?</w:t>
      </w:r>
    </w:p>
    <w:p w14:paraId="3508DA07" w14:textId="77777777" w:rsidR="00F86A73" w:rsidRDefault="00F86A73" w:rsidP="00B87516">
      <w:pPr>
        <w:spacing w:line="276" w:lineRule="auto"/>
        <w:jc w:val="both"/>
        <w:rPr>
          <w:b/>
          <w:bCs/>
        </w:rPr>
      </w:pPr>
    </w:p>
    <w:p w14:paraId="7DE6E69B" w14:textId="705C06D2" w:rsidR="004E7FB3" w:rsidRPr="00B87516" w:rsidRDefault="00353EA2" w:rsidP="00B87516">
      <w:pPr>
        <w:spacing w:line="276" w:lineRule="auto"/>
        <w:jc w:val="both"/>
        <w:rPr>
          <w:rFonts w:eastAsia="Times New Roman" w:cstheme="minorHAnsi"/>
          <w:b/>
          <w:bCs/>
          <w:lang w:eastAsia="fr-FR"/>
        </w:rPr>
      </w:pPr>
      <w:r w:rsidRPr="00B87516">
        <w:rPr>
          <w:b/>
          <w:bCs/>
        </w:rPr>
        <w:t xml:space="preserve"> </w:t>
      </w:r>
    </w:p>
    <w:p w14:paraId="17DB7867" w14:textId="202CE687" w:rsidR="00B87516" w:rsidRPr="00097AF6" w:rsidRDefault="007B1C5C" w:rsidP="00B87516">
      <w:pPr>
        <w:spacing w:line="276" w:lineRule="auto"/>
        <w:jc w:val="both"/>
        <w:rPr>
          <w:rFonts w:eastAsia="Times New Roman" w:cstheme="minorHAnsi"/>
          <w:b/>
          <w:bCs/>
          <w:lang w:eastAsia="fr-FR"/>
        </w:rPr>
      </w:pPr>
      <w:r w:rsidRPr="007B1C5C">
        <w:rPr>
          <w:rFonts w:eastAsia="Times New Roman" w:cstheme="minorHAnsi"/>
          <w:b/>
          <w:bCs/>
          <w:u w:val="single"/>
          <w:lang w:eastAsia="fr-FR"/>
        </w:rPr>
        <w:t>D’autre part, la notion de « soustraction » suppose, classiquement,</w:t>
      </w:r>
      <w:r w:rsidRPr="00097AF6">
        <w:rPr>
          <w:rFonts w:eastAsia="Times New Roman" w:cstheme="minorHAnsi"/>
          <w:b/>
          <w:bCs/>
          <w:u w:val="single"/>
          <w:lang w:eastAsia="fr-FR"/>
        </w:rPr>
        <w:t xml:space="preserve"> une dépossession</w:t>
      </w:r>
      <w:r w:rsidRPr="007B1C5C">
        <w:rPr>
          <w:rFonts w:eastAsia="Times New Roman" w:cstheme="minorHAnsi"/>
          <w:b/>
          <w:bCs/>
          <w:lang w:eastAsia="fr-FR"/>
        </w:rPr>
        <w:t>. Or, dans un vol d’informations, il n’y a aucune dépossession, l’information étant seulement partagée. La soustraction deviendrait ainsi une simple prise de possession à l’insu ou contre le gré du propriétaire.</w:t>
      </w:r>
      <w:r w:rsidR="00097AF6" w:rsidRPr="00097AF6">
        <w:rPr>
          <w:rFonts w:eastAsia="Times New Roman" w:cstheme="minorHAnsi"/>
          <w:b/>
          <w:bCs/>
          <w:lang w:eastAsia="fr-FR"/>
        </w:rPr>
        <w:t xml:space="preserve"> D’où la question : </w:t>
      </w:r>
      <w:r w:rsidR="00B87516" w:rsidRPr="00097AF6">
        <w:rPr>
          <w:rFonts w:eastAsia="Times New Roman" w:cstheme="minorHAnsi"/>
          <w:b/>
          <w:bCs/>
          <w:lang w:eastAsia="fr-FR"/>
        </w:rPr>
        <w:t xml:space="preserve">Une information peut-elle faire vraiment l’objet d’une soustraction, au sens de l’article 311-1 du code pénal dès lors que son propriétaire n’est pas privé de sa possession, et peut en disposer ?  </w:t>
      </w:r>
      <w:proofErr w:type="gramStart"/>
      <w:r w:rsidR="00B87516" w:rsidRPr="00097AF6">
        <w:rPr>
          <w:rFonts w:eastAsia="Times New Roman" w:cstheme="minorHAnsi"/>
          <w:b/>
          <w:bCs/>
          <w:lang w:eastAsia="fr-FR"/>
        </w:rPr>
        <w:t>( ex</w:t>
      </w:r>
      <w:proofErr w:type="gramEnd"/>
      <w:r w:rsidR="00B87516" w:rsidRPr="00097AF6">
        <w:rPr>
          <w:rFonts w:eastAsia="Times New Roman" w:cstheme="minorHAnsi"/>
          <w:b/>
          <w:bCs/>
          <w:lang w:eastAsia="fr-FR"/>
        </w:rPr>
        <w:t xml:space="preserve"> du téléchargement de données, de la copie de fichiers dont le propriétaire peut continuer à disposer …)</w:t>
      </w:r>
    </w:p>
    <w:p w14:paraId="2F2F8D2B" w14:textId="59A6D591" w:rsidR="007B1C5C" w:rsidRPr="007B1C5C" w:rsidRDefault="007B1C5C" w:rsidP="007B1C5C">
      <w:pPr>
        <w:spacing w:line="276" w:lineRule="auto"/>
        <w:jc w:val="both"/>
        <w:rPr>
          <w:rFonts w:eastAsia="Times New Roman" w:cstheme="minorHAnsi"/>
          <w:b/>
          <w:bCs/>
          <w:i/>
          <w:iCs/>
          <w:lang w:eastAsia="fr-FR"/>
        </w:rPr>
      </w:pPr>
    </w:p>
    <w:p w14:paraId="203AB7CF" w14:textId="4C5DFF23" w:rsidR="00B87516" w:rsidRPr="00097AF6" w:rsidRDefault="00B87516" w:rsidP="00EE0A9A">
      <w:pPr>
        <w:spacing w:line="276" w:lineRule="auto"/>
        <w:jc w:val="both"/>
        <w:rPr>
          <w:rFonts w:eastAsia="Times New Roman" w:cstheme="minorHAnsi"/>
          <w:b/>
          <w:bCs/>
          <w:i/>
          <w:iCs/>
          <w:u w:val="single"/>
          <w:lang w:eastAsia="fr-FR"/>
        </w:rPr>
      </w:pPr>
      <w:r w:rsidRPr="00097AF6">
        <w:rPr>
          <w:rFonts w:eastAsia="Times New Roman" w:cstheme="minorHAnsi"/>
          <w:b/>
          <w:bCs/>
          <w:i/>
          <w:iCs/>
          <w:u w:val="single"/>
          <w:lang w:eastAsia="fr-FR"/>
        </w:rPr>
        <w:t>Bien faire comprendre aux élèves les enjeux</w:t>
      </w:r>
      <w:r w:rsidR="00097AF6" w:rsidRPr="00097AF6">
        <w:rPr>
          <w:rFonts w:eastAsia="Times New Roman" w:cstheme="minorHAnsi"/>
          <w:b/>
          <w:bCs/>
          <w:i/>
          <w:iCs/>
          <w:u w:val="single"/>
          <w:lang w:eastAsia="fr-FR"/>
        </w:rPr>
        <w:t xml:space="preserve"> : d’un </w:t>
      </w:r>
      <w:proofErr w:type="gramStart"/>
      <w:r w:rsidR="00097AF6" w:rsidRPr="00097AF6">
        <w:rPr>
          <w:rFonts w:eastAsia="Times New Roman" w:cstheme="minorHAnsi"/>
          <w:b/>
          <w:bCs/>
          <w:i/>
          <w:iCs/>
          <w:u w:val="single"/>
          <w:lang w:eastAsia="fr-FR"/>
        </w:rPr>
        <w:t>côté ,</w:t>
      </w:r>
      <w:proofErr w:type="gramEnd"/>
      <w:r w:rsidR="00097AF6" w:rsidRPr="00097AF6">
        <w:rPr>
          <w:rFonts w:eastAsia="Times New Roman" w:cstheme="minorHAnsi"/>
          <w:b/>
          <w:bCs/>
          <w:i/>
          <w:iCs/>
          <w:u w:val="single"/>
          <w:lang w:eastAsia="fr-FR"/>
        </w:rPr>
        <w:t xml:space="preserve"> nécessité de mieux protéger les données numériques, d’un autre côté possibilité d’un usage abusif de la qualification de vol, ce qui serait source d’une insécurité juridique</w:t>
      </w:r>
    </w:p>
    <w:p w14:paraId="2A7B07EC" w14:textId="75DD7FC0" w:rsidR="00EE0A9A" w:rsidRPr="00EE0A9A" w:rsidRDefault="00EE0A9A" w:rsidP="00EE0A9A">
      <w:pPr>
        <w:spacing w:line="276" w:lineRule="auto"/>
        <w:jc w:val="both"/>
        <w:rPr>
          <w:rFonts w:eastAsia="Times New Roman" w:cstheme="minorHAnsi"/>
          <w:b/>
          <w:bCs/>
          <w:i/>
          <w:iCs/>
          <w:lang w:eastAsia="fr-FR"/>
        </w:rPr>
      </w:pPr>
      <w:r w:rsidRPr="00EE0A9A">
        <w:rPr>
          <w:rFonts w:eastAsia="Times New Roman" w:cstheme="minorHAnsi"/>
          <w:b/>
          <w:bCs/>
          <w:i/>
          <w:iCs/>
          <w:lang w:eastAsia="fr-FR"/>
        </w:rPr>
        <w:t xml:space="preserve">Dans la mesure où un tiers s’approprie frauduleusement une information, son propriétaire en perd la maîtrise exclusive, </w:t>
      </w:r>
      <w:r w:rsidR="00B87516">
        <w:rPr>
          <w:rFonts w:eastAsia="Times New Roman" w:cstheme="minorHAnsi"/>
          <w:b/>
          <w:bCs/>
          <w:i/>
          <w:iCs/>
          <w:lang w:eastAsia="fr-FR"/>
        </w:rPr>
        <w:t xml:space="preserve">et on pourrait dire que </w:t>
      </w:r>
      <w:r w:rsidRPr="00EE0A9A">
        <w:rPr>
          <w:rFonts w:eastAsia="Times New Roman" w:cstheme="minorHAnsi"/>
          <w:b/>
          <w:bCs/>
          <w:i/>
          <w:iCs/>
          <w:lang w:eastAsia="fr-FR"/>
        </w:rPr>
        <w:t>l’exclusivité de celle-ci constitu</w:t>
      </w:r>
      <w:r w:rsidR="00B87516">
        <w:rPr>
          <w:rFonts w:eastAsia="Times New Roman" w:cstheme="minorHAnsi"/>
          <w:b/>
          <w:bCs/>
          <w:i/>
          <w:iCs/>
          <w:lang w:eastAsia="fr-FR"/>
        </w:rPr>
        <w:t>e</w:t>
      </w:r>
      <w:r w:rsidRPr="00EE0A9A">
        <w:rPr>
          <w:rFonts w:eastAsia="Times New Roman" w:cstheme="minorHAnsi"/>
          <w:b/>
          <w:bCs/>
          <w:i/>
          <w:iCs/>
          <w:lang w:eastAsia="fr-FR"/>
        </w:rPr>
        <w:t xml:space="preserve"> l’objet de la soustraction.  Mais qu’en est -il de la simple prise de connaissance d’une information ? Le propriétaire n’en </w:t>
      </w:r>
      <w:r w:rsidR="0087737C">
        <w:rPr>
          <w:rFonts w:eastAsia="Times New Roman" w:cstheme="minorHAnsi"/>
          <w:b/>
          <w:bCs/>
          <w:i/>
          <w:iCs/>
          <w:lang w:eastAsia="fr-FR"/>
        </w:rPr>
        <w:t xml:space="preserve">a plus </w:t>
      </w:r>
      <w:r w:rsidRPr="00EE0A9A">
        <w:rPr>
          <w:rFonts w:eastAsia="Times New Roman" w:cstheme="minorHAnsi"/>
          <w:b/>
          <w:bCs/>
          <w:i/>
          <w:iCs/>
          <w:lang w:eastAsia="fr-FR"/>
        </w:rPr>
        <w:t xml:space="preserve">la maîtrise exclusive, et ne </w:t>
      </w:r>
      <w:r w:rsidR="0087737C">
        <w:rPr>
          <w:rFonts w:eastAsia="Times New Roman" w:cstheme="minorHAnsi"/>
          <w:b/>
          <w:bCs/>
          <w:i/>
          <w:iCs/>
          <w:lang w:eastAsia="fr-FR"/>
        </w:rPr>
        <w:t>faudrait-il</w:t>
      </w:r>
      <w:r w:rsidRPr="00EE0A9A">
        <w:rPr>
          <w:rFonts w:eastAsia="Times New Roman" w:cstheme="minorHAnsi"/>
          <w:b/>
          <w:bCs/>
          <w:i/>
          <w:iCs/>
          <w:lang w:eastAsia="fr-FR"/>
        </w:rPr>
        <w:t xml:space="preserve"> pas alors retenir la qualification de vol</w:t>
      </w:r>
      <w:r w:rsidR="0087737C">
        <w:rPr>
          <w:rFonts w:eastAsia="Times New Roman" w:cstheme="minorHAnsi"/>
          <w:b/>
          <w:bCs/>
          <w:i/>
          <w:iCs/>
          <w:lang w:eastAsia="fr-FR"/>
        </w:rPr>
        <w:t xml:space="preserve"> ? </w:t>
      </w:r>
      <w:r w:rsidR="00C61815">
        <w:rPr>
          <w:rFonts w:eastAsia="Times New Roman" w:cstheme="minorHAnsi"/>
          <w:b/>
          <w:bCs/>
          <w:i/>
          <w:iCs/>
          <w:lang w:eastAsia="fr-FR"/>
        </w:rPr>
        <w:t>C</w:t>
      </w:r>
      <w:r w:rsidR="00C61815" w:rsidRPr="00EE0A9A">
        <w:rPr>
          <w:rFonts w:eastAsia="Times New Roman" w:cstheme="minorHAnsi"/>
          <w:b/>
          <w:bCs/>
          <w:i/>
          <w:iCs/>
          <w:lang w:eastAsia="fr-FR"/>
        </w:rPr>
        <w:t>e</w:t>
      </w:r>
      <w:r w:rsidR="00C61815">
        <w:rPr>
          <w:rFonts w:eastAsia="Times New Roman" w:cstheme="minorHAnsi"/>
          <w:b/>
          <w:bCs/>
          <w:i/>
          <w:iCs/>
          <w:lang w:eastAsia="fr-FR"/>
        </w:rPr>
        <w:t xml:space="preserve">la </w:t>
      </w:r>
      <w:r w:rsidR="00C61815" w:rsidRPr="00EE0A9A">
        <w:rPr>
          <w:rFonts w:eastAsia="Times New Roman" w:cstheme="minorHAnsi"/>
          <w:b/>
          <w:bCs/>
          <w:i/>
          <w:iCs/>
          <w:lang w:eastAsia="fr-FR"/>
        </w:rPr>
        <w:t>conduirait</w:t>
      </w:r>
      <w:r w:rsidR="0087737C">
        <w:rPr>
          <w:rFonts w:eastAsia="Times New Roman" w:cstheme="minorHAnsi"/>
          <w:b/>
          <w:bCs/>
          <w:i/>
          <w:iCs/>
          <w:lang w:eastAsia="fr-FR"/>
        </w:rPr>
        <w:t xml:space="preserve"> </w:t>
      </w:r>
      <w:r w:rsidR="00C61815">
        <w:rPr>
          <w:rFonts w:eastAsia="Times New Roman" w:cstheme="minorHAnsi"/>
          <w:b/>
          <w:bCs/>
          <w:i/>
          <w:iCs/>
          <w:lang w:eastAsia="fr-FR"/>
        </w:rPr>
        <w:t xml:space="preserve">à </w:t>
      </w:r>
      <w:r w:rsidR="0087737C">
        <w:rPr>
          <w:rFonts w:eastAsia="Times New Roman" w:cstheme="minorHAnsi"/>
          <w:b/>
          <w:bCs/>
          <w:i/>
          <w:iCs/>
          <w:lang w:eastAsia="fr-FR"/>
        </w:rPr>
        <w:t xml:space="preserve">dire </w:t>
      </w:r>
      <w:proofErr w:type="gramStart"/>
      <w:r w:rsidR="0087737C">
        <w:rPr>
          <w:rFonts w:eastAsia="Times New Roman" w:cstheme="minorHAnsi"/>
          <w:b/>
          <w:bCs/>
          <w:i/>
          <w:iCs/>
          <w:lang w:eastAsia="fr-FR"/>
        </w:rPr>
        <w:t xml:space="preserve">que </w:t>
      </w:r>
      <w:r w:rsidRPr="00EE0A9A">
        <w:rPr>
          <w:rFonts w:eastAsia="Times New Roman" w:cstheme="minorHAnsi"/>
          <w:b/>
          <w:bCs/>
          <w:i/>
          <w:iCs/>
          <w:lang w:eastAsia="fr-FR"/>
        </w:rPr>
        <w:t xml:space="preserve"> se</w:t>
      </w:r>
      <w:proofErr w:type="gramEnd"/>
      <w:r w:rsidRPr="00EE0A9A">
        <w:rPr>
          <w:rFonts w:eastAsia="Times New Roman" w:cstheme="minorHAnsi"/>
          <w:b/>
          <w:bCs/>
          <w:i/>
          <w:iCs/>
          <w:lang w:eastAsia="fr-FR"/>
        </w:rPr>
        <w:t xml:space="preserve"> cacher dans un placard pour écouter une conversation</w:t>
      </w:r>
      <w:r w:rsidR="00097AF6">
        <w:rPr>
          <w:rFonts w:eastAsia="Times New Roman" w:cstheme="minorHAnsi"/>
          <w:b/>
          <w:bCs/>
          <w:i/>
          <w:iCs/>
          <w:lang w:eastAsia="fr-FR"/>
        </w:rPr>
        <w:t xml:space="preserve"> </w:t>
      </w:r>
      <w:r w:rsidRPr="00EE0A9A">
        <w:rPr>
          <w:rFonts w:eastAsia="Times New Roman" w:cstheme="minorHAnsi"/>
          <w:b/>
          <w:bCs/>
          <w:i/>
          <w:iCs/>
          <w:lang w:eastAsia="fr-FR"/>
        </w:rPr>
        <w:t>ou lire un document</w:t>
      </w:r>
      <w:r w:rsidR="00097AF6">
        <w:rPr>
          <w:rFonts w:eastAsia="Times New Roman" w:cstheme="minorHAnsi"/>
          <w:b/>
          <w:bCs/>
          <w:i/>
          <w:iCs/>
          <w:lang w:eastAsia="fr-FR"/>
        </w:rPr>
        <w:t>,</w:t>
      </w:r>
      <w:r w:rsidRPr="00EE0A9A">
        <w:rPr>
          <w:rFonts w:eastAsia="Times New Roman" w:cstheme="minorHAnsi"/>
          <w:b/>
          <w:bCs/>
          <w:i/>
          <w:iCs/>
          <w:lang w:eastAsia="fr-FR"/>
        </w:rPr>
        <w:t xml:space="preserve"> </w:t>
      </w:r>
      <w:r w:rsidR="00097286" w:rsidRPr="00EE0A9A">
        <w:rPr>
          <w:rFonts w:eastAsia="Times New Roman" w:cstheme="minorHAnsi"/>
          <w:b/>
          <w:bCs/>
          <w:i/>
          <w:iCs/>
          <w:lang w:eastAsia="fr-FR"/>
        </w:rPr>
        <w:t>constitue</w:t>
      </w:r>
      <w:r w:rsidR="00097286">
        <w:rPr>
          <w:rFonts w:eastAsia="Times New Roman" w:cstheme="minorHAnsi"/>
          <w:b/>
          <w:bCs/>
          <w:i/>
          <w:iCs/>
          <w:lang w:eastAsia="fr-FR"/>
        </w:rPr>
        <w:t>nt</w:t>
      </w:r>
      <w:r w:rsidRPr="00EE0A9A">
        <w:rPr>
          <w:rFonts w:eastAsia="Times New Roman" w:cstheme="minorHAnsi"/>
          <w:b/>
          <w:bCs/>
          <w:i/>
          <w:iCs/>
          <w:lang w:eastAsia="fr-FR"/>
        </w:rPr>
        <w:t xml:space="preserve"> des « soustractions frauduleuses » </w:t>
      </w:r>
      <w:r w:rsidR="0087737C">
        <w:rPr>
          <w:rFonts w:eastAsia="Times New Roman" w:cstheme="minorHAnsi"/>
          <w:b/>
          <w:bCs/>
          <w:i/>
          <w:iCs/>
          <w:lang w:eastAsia="fr-FR"/>
        </w:rPr>
        <w:t>…</w:t>
      </w:r>
    </w:p>
    <w:p w14:paraId="2AAAE341" w14:textId="77777777" w:rsidR="00EE0A9A" w:rsidRPr="00557CDC" w:rsidRDefault="00EE0A9A" w:rsidP="00EE0A9A">
      <w:pPr>
        <w:spacing w:line="276" w:lineRule="auto"/>
        <w:jc w:val="both"/>
        <w:rPr>
          <w:rFonts w:cstheme="minorHAnsi"/>
          <w:color w:val="4472C4" w:themeColor="accent1"/>
        </w:rPr>
      </w:pPr>
    </w:p>
    <w:p w14:paraId="5CD607A6" w14:textId="77777777" w:rsidR="00097AF6" w:rsidRDefault="00097AF6" w:rsidP="00EE0A9A">
      <w:pPr>
        <w:spacing w:line="276" w:lineRule="auto"/>
        <w:jc w:val="both"/>
        <w:rPr>
          <w:rFonts w:cstheme="minorHAnsi"/>
          <w:color w:val="4472C4" w:themeColor="accent1"/>
        </w:rPr>
      </w:pPr>
      <w:r>
        <w:rPr>
          <w:rFonts w:cstheme="minorHAnsi"/>
          <w:color w:val="4472C4" w:themeColor="accent1"/>
        </w:rPr>
        <w:t>Faire r</w:t>
      </w:r>
      <w:r w:rsidR="00EE0A9A" w:rsidRPr="00557CDC">
        <w:rPr>
          <w:rFonts w:cstheme="minorHAnsi"/>
          <w:color w:val="4472C4" w:themeColor="accent1"/>
        </w:rPr>
        <w:t xml:space="preserve">eformuler : </w:t>
      </w:r>
    </w:p>
    <w:p w14:paraId="77D999AA" w14:textId="5A21664D" w:rsidR="00097AF6" w:rsidRDefault="00F86A73" w:rsidP="00F86A73">
      <w:pPr>
        <w:pStyle w:val="Paragraphedeliste"/>
        <w:numPr>
          <w:ilvl w:val="0"/>
          <w:numId w:val="2"/>
        </w:numPr>
        <w:spacing w:line="276" w:lineRule="auto"/>
        <w:jc w:val="both"/>
        <w:rPr>
          <w:rFonts w:cstheme="minorHAnsi"/>
          <w:color w:val="4472C4" w:themeColor="accent1"/>
        </w:rPr>
      </w:pPr>
      <w:r w:rsidRPr="00097AF6">
        <w:rPr>
          <w:rFonts w:cstheme="minorHAnsi"/>
          <w:color w:val="4472C4" w:themeColor="accent1"/>
        </w:rPr>
        <w:t>Quels</w:t>
      </w:r>
      <w:r w:rsidR="00EE0A9A" w:rsidRPr="00097AF6">
        <w:rPr>
          <w:rFonts w:cstheme="minorHAnsi"/>
          <w:color w:val="4472C4" w:themeColor="accent1"/>
        </w:rPr>
        <w:t xml:space="preserve"> problèmes pose la notion de « vol d’informations » à la définition du concept de « choses » et du concept de « soustraction » ?</w:t>
      </w:r>
      <w:r>
        <w:rPr>
          <w:rFonts w:cstheme="minorHAnsi"/>
          <w:color w:val="4472C4" w:themeColor="accent1"/>
        </w:rPr>
        <w:t xml:space="preserve"> </w:t>
      </w:r>
      <w:r w:rsidR="00097AF6" w:rsidRPr="00F86A73">
        <w:rPr>
          <w:rFonts w:cstheme="minorHAnsi"/>
          <w:color w:val="4472C4" w:themeColor="accent1"/>
        </w:rPr>
        <w:t>Que signifie l’expression « insécurité juridique ?</w:t>
      </w:r>
    </w:p>
    <w:p w14:paraId="7510E40C" w14:textId="620B19D5" w:rsidR="00F86A73" w:rsidRPr="00F86A73" w:rsidRDefault="00F86A73" w:rsidP="00F86A73">
      <w:pPr>
        <w:pStyle w:val="Paragraphedeliste"/>
        <w:spacing w:line="276" w:lineRule="auto"/>
        <w:jc w:val="both"/>
        <w:rPr>
          <w:rFonts w:cstheme="minorHAnsi"/>
          <w:color w:val="4472C4" w:themeColor="accent1"/>
        </w:rPr>
      </w:pPr>
    </w:p>
    <w:p w14:paraId="6502B76E" w14:textId="77777777" w:rsidR="00EE0A9A" w:rsidRPr="007B1C5C" w:rsidRDefault="00EE0A9A" w:rsidP="007B1C5C">
      <w:pPr>
        <w:spacing w:line="276" w:lineRule="auto"/>
        <w:jc w:val="both"/>
        <w:rPr>
          <w:rFonts w:eastAsia="Times New Roman" w:cstheme="minorHAnsi"/>
          <w:b/>
          <w:bCs/>
          <w:i/>
          <w:iCs/>
          <w:lang w:eastAsia="fr-FR"/>
        </w:rPr>
      </w:pPr>
    </w:p>
    <w:p w14:paraId="1EAA54F0" w14:textId="77777777" w:rsidR="007B1C5C" w:rsidRPr="007D17CA" w:rsidRDefault="007B1C5C" w:rsidP="007D17CA">
      <w:pPr>
        <w:spacing w:line="276" w:lineRule="auto"/>
        <w:jc w:val="both"/>
        <w:rPr>
          <w:rFonts w:eastAsia="Times New Roman" w:cstheme="minorHAnsi"/>
          <w:b/>
          <w:bCs/>
          <w:lang w:eastAsia="fr-FR"/>
        </w:rPr>
      </w:pPr>
    </w:p>
    <w:p w14:paraId="3FB79E39" w14:textId="77777777" w:rsidR="007D17CA" w:rsidRPr="007D17CA" w:rsidRDefault="007D17CA" w:rsidP="007D17CA">
      <w:pPr>
        <w:spacing w:line="276" w:lineRule="auto"/>
        <w:jc w:val="both"/>
        <w:rPr>
          <w:rFonts w:eastAsia="Times New Roman" w:cstheme="minorHAnsi"/>
          <w:b/>
          <w:bCs/>
          <w:lang w:eastAsia="fr-FR"/>
        </w:rPr>
      </w:pPr>
    </w:p>
    <w:p w14:paraId="1E29D327" w14:textId="7B5B6CB3" w:rsidR="004E7FB3" w:rsidRDefault="00557CDC" w:rsidP="00353EA2">
      <w:pPr>
        <w:pStyle w:val="Titre1"/>
      </w:pPr>
      <w:bookmarkStart w:id="2" w:name="_Toc124393155"/>
      <w:bookmarkStart w:id="3" w:name="_Toc124490903"/>
      <w:r w:rsidRPr="007A4134">
        <w:lastRenderedPageBreak/>
        <w:t>Étape</w:t>
      </w:r>
      <w:r w:rsidR="007A4134" w:rsidRPr="007A4134">
        <w:t xml:space="preserve"> 1 : le détournement peut porter sur un bien incorporel</w:t>
      </w:r>
      <w:bookmarkEnd w:id="2"/>
      <w:bookmarkEnd w:id="3"/>
    </w:p>
    <w:p w14:paraId="28BBC265" w14:textId="461D6E70" w:rsidR="00353EA2" w:rsidRDefault="00353EA2" w:rsidP="004E7FB3">
      <w:pPr>
        <w:spacing w:line="276" w:lineRule="auto"/>
        <w:rPr>
          <w:color w:val="002060"/>
        </w:rPr>
      </w:pPr>
    </w:p>
    <w:p w14:paraId="72229F0B" w14:textId="77777777" w:rsidR="00353EA2" w:rsidRPr="007A4134" w:rsidRDefault="00353EA2" w:rsidP="004E7FB3">
      <w:pPr>
        <w:spacing w:line="276" w:lineRule="auto"/>
        <w:rPr>
          <w:color w:val="002060"/>
        </w:rPr>
      </w:pPr>
    </w:p>
    <w:p w14:paraId="317A4F13" w14:textId="76A450E0" w:rsidR="004E7FB3" w:rsidRPr="007D17CA" w:rsidRDefault="004E7FB3" w:rsidP="007A4134">
      <w:pPr>
        <w:spacing w:line="276" w:lineRule="auto"/>
        <w:jc w:val="both"/>
        <w:rPr>
          <w:rFonts w:asciiTheme="majorHAnsi" w:eastAsia="Times New Roman" w:hAnsiTheme="majorHAnsi" w:cstheme="majorHAnsi"/>
          <w:lang w:eastAsia="fr-FR"/>
        </w:rPr>
      </w:pPr>
      <w:r w:rsidRPr="007D17CA">
        <w:rPr>
          <w:rFonts w:asciiTheme="majorHAnsi" w:eastAsia="Times New Roman" w:hAnsiTheme="majorHAnsi" w:cstheme="majorHAnsi"/>
          <w:lang w:eastAsia="fr-FR"/>
        </w:rPr>
        <w:t xml:space="preserve">On a assisté depuis les années 2000 à un contexte jurisprudentiel de plus en plus favorable à la dématérialisation de certaines infractions. Dans de nombreux arrêts en matière d’abus de confiance, la cour de cassation a clairement admis que </w:t>
      </w:r>
      <w:r w:rsidRPr="007D17CA">
        <w:rPr>
          <w:rFonts w:asciiTheme="majorHAnsi" w:eastAsia="Times New Roman" w:hAnsiTheme="majorHAnsi" w:cstheme="majorHAnsi"/>
          <w:b/>
          <w:bCs/>
          <w:u w:val="single"/>
          <w:lang w:eastAsia="fr-FR"/>
        </w:rPr>
        <w:t xml:space="preserve">le détournement </w:t>
      </w:r>
      <w:r w:rsidRPr="007D17CA">
        <w:rPr>
          <w:rFonts w:asciiTheme="majorHAnsi" w:eastAsia="Times New Roman" w:hAnsiTheme="majorHAnsi" w:cstheme="majorHAnsi"/>
          <w:lang w:eastAsia="fr-FR"/>
        </w:rPr>
        <w:t xml:space="preserve">peut « porter sur un bien incorporel » telle une information, et ce, indépendamment de tout support matériel. </w:t>
      </w:r>
    </w:p>
    <w:p w14:paraId="18BF8EFF" w14:textId="77777777" w:rsidR="007D17CA" w:rsidRPr="007D17CA" w:rsidRDefault="007D17CA" w:rsidP="007A4134">
      <w:pPr>
        <w:spacing w:line="276" w:lineRule="auto"/>
        <w:jc w:val="both"/>
        <w:rPr>
          <w:rFonts w:asciiTheme="majorHAnsi" w:eastAsia="Times New Roman" w:hAnsiTheme="majorHAnsi" w:cstheme="majorHAnsi"/>
          <w:lang w:eastAsia="fr-FR"/>
        </w:rPr>
      </w:pPr>
    </w:p>
    <w:p w14:paraId="3C3864D8" w14:textId="77777777" w:rsidR="004E7FB3" w:rsidRPr="007D17CA" w:rsidRDefault="004E7FB3" w:rsidP="004E7FB3">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7D17CA">
        <w:rPr>
          <w:rFonts w:asciiTheme="majorHAnsi" w:hAnsiTheme="majorHAnsi" w:cstheme="majorHAnsi"/>
        </w:rPr>
        <w:t>Document 1</w:t>
      </w:r>
    </w:p>
    <w:p w14:paraId="5A817D3F" w14:textId="77777777" w:rsidR="004E7FB3" w:rsidRPr="007D17CA" w:rsidRDefault="004E7FB3" w:rsidP="004E7FB3">
      <w:pPr>
        <w:pStyle w:val="NormalWeb"/>
        <w:pBdr>
          <w:top w:val="single" w:sz="4" w:space="1" w:color="auto"/>
          <w:left w:val="single" w:sz="4" w:space="4" w:color="auto"/>
          <w:bottom w:val="single" w:sz="4" w:space="1" w:color="auto"/>
          <w:right w:val="single" w:sz="4" w:space="4" w:color="auto"/>
        </w:pBdr>
        <w:rPr>
          <w:rFonts w:asciiTheme="majorHAnsi" w:hAnsiTheme="majorHAnsi" w:cstheme="majorHAnsi"/>
        </w:rPr>
      </w:pPr>
      <w:r w:rsidRPr="007D17CA">
        <w:rPr>
          <w:rFonts w:asciiTheme="majorHAnsi" w:hAnsiTheme="majorHAnsi" w:cstheme="majorHAnsi"/>
        </w:rPr>
        <w:t xml:space="preserve">Extrait de l’arrêt du 14 décembre 2000 : </w:t>
      </w:r>
      <w:hyperlink r:id="rId8" w:history="1">
        <w:r w:rsidRPr="007D17CA">
          <w:rPr>
            <w:rStyle w:val="Lienhypertexte"/>
            <w:rFonts w:asciiTheme="majorHAnsi" w:eastAsiaTheme="majorEastAsia" w:hAnsiTheme="majorHAnsi" w:cstheme="majorHAnsi"/>
          </w:rPr>
          <w:t>https://www.legifrance.gouv.fr/juri/id/JURITEXT000007070782/</w:t>
        </w:r>
      </w:hyperlink>
      <w:r w:rsidRPr="007D17CA">
        <w:rPr>
          <w:rFonts w:asciiTheme="majorHAnsi" w:hAnsiTheme="majorHAnsi" w:cstheme="majorHAnsi"/>
        </w:rPr>
        <w:t xml:space="preserve">: </w:t>
      </w:r>
    </w:p>
    <w:p w14:paraId="34AEBE5E" w14:textId="77777777" w:rsidR="004E7FB3" w:rsidRPr="007D17CA" w:rsidRDefault="004E7FB3" w:rsidP="004E7FB3">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highlight w:val="yellow"/>
        </w:rPr>
      </w:pPr>
      <w:r w:rsidRPr="007D17CA">
        <w:rPr>
          <w:rFonts w:asciiTheme="majorHAnsi" w:hAnsiTheme="majorHAnsi" w:cstheme="majorHAnsi"/>
        </w:rPr>
        <w:t>Attendu qu'en l'état de ces motifs, d'où il résulte que le prévenu a, en connaissance de cause, détourné le numéro de la carte bancaire communiqué par la cliente pour le seul paiement de sa commande et, par là-même, n'en a pas fait l'usage convenu entre les parties, la cour d'appel a caractérisé en tous ses éléments, tant matériels, qu'intentionnel, le délit d'abus de confiance dont elle a déclaré le prévenu coupable ;</w:t>
      </w:r>
    </w:p>
    <w:p w14:paraId="08A28B08" w14:textId="07DD9C97" w:rsidR="004E7FB3" w:rsidRPr="007D17CA" w:rsidRDefault="004E7FB3" w:rsidP="007A4134">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rPr>
      </w:pPr>
      <w:r w:rsidRPr="007D17CA">
        <w:rPr>
          <w:rFonts w:asciiTheme="majorHAnsi" w:hAnsiTheme="majorHAnsi" w:cstheme="majorHAnsi"/>
          <w:color w:val="000000" w:themeColor="text1"/>
          <w:highlight w:val="yellow"/>
        </w:rPr>
        <w:t xml:space="preserve">Qu'en effet, les dispositions de l'article 314-1 du Code pénal s'appliquent à un bien quelconque et non pas seulement à un bien </w:t>
      </w:r>
      <w:r w:rsidR="00353EA2" w:rsidRPr="007D17CA">
        <w:rPr>
          <w:rFonts w:asciiTheme="majorHAnsi" w:hAnsiTheme="majorHAnsi" w:cstheme="majorHAnsi"/>
          <w:color w:val="000000" w:themeColor="text1"/>
          <w:highlight w:val="yellow"/>
        </w:rPr>
        <w:t>corporel</w:t>
      </w:r>
      <w:r w:rsidR="00353EA2" w:rsidRPr="007D17CA">
        <w:rPr>
          <w:rFonts w:asciiTheme="majorHAnsi" w:hAnsiTheme="majorHAnsi" w:cstheme="majorHAnsi"/>
          <w:color w:val="000000" w:themeColor="text1"/>
        </w:rPr>
        <w:t>.</w:t>
      </w:r>
    </w:p>
    <w:p w14:paraId="5BCCF910" w14:textId="77777777" w:rsidR="007D17CA" w:rsidRPr="007D17CA" w:rsidRDefault="007D17CA" w:rsidP="007A4134">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rPr>
      </w:pPr>
    </w:p>
    <w:p w14:paraId="3BCC574B" w14:textId="77777777" w:rsidR="007D17CA" w:rsidRDefault="007D17CA" w:rsidP="004E7FB3">
      <w:pPr>
        <w:jc w:val="both"/>
        <w:rPr>
          <w:rFonts w:asciiTheme="majorHAnsi" w:eastAsia="Times New Roman" w:hAnsiTheme="majorHAnsi" w:cstheme="majorHAnsi"/>
          <w:lang w:eastAsia="fr-FR"/>
        </w:rPr>
      </w:pPr>
    </w:p>
    <w:p w14:paraId="5EBC55F2" w14:textId="05557DEB" w:rsidR="004E7FB3" w:rsidRPr="007D17CA" w:rsidRDefault="004E7FB3" w:rsidP="004E7FB3">
      <w:pPr>
        <w:jc w:val="both"/>
        <w:rPr>
          <w:rFonts w:asciiTheme="majorHAnsi" w:eastAsia="Times New Roman" w:hAnsiTheme="majorHAnsi" w:cstheme="majorHAnsi"/>
          <w:lang w:eastAsia="fr-FR"/>
        </w:rPr>
      </w:pPr>
      <w:r w:rsidRPr="007D17CA">
        <w:rPr>
          <w:rFonts w:asciiTheme="majorHAnsi" w:eastAsia="Times New Roman" w:hAnsiTheme="majorHAnsi" w:cstheme="majorHAnsi"/>
          <w:lang w:eastAsia="fr-FR"/>
        </w:rPr>
        <w:t xml:space="preserve">De même, on trouve des traces de cette jurisprudence dans le domaine du </w:t>
      </w:r>
      <w:r w:rsidRPr="007D17CA">
        <w:rPr>
          <w:rFonts w:asciiTheme="majorHAnsi" w:eastAsia="Times New Roman" w:hAnsiTheme="majorHAnsi" w:cstheme="majorHAnsi"/>
          <w:b/>
          <w:bCs/>
          <w:u w:val="single"/>
          <w:lang w:eastAsia="fr-FR"/>
        </w:rPr>
        <w:t xml:space="preserve">recel </w:t>
      </w:r>
      <w:r w:rsidRPr="007D17CA">
        <w:rPr>
          <w:rFonts w:asciiTheme="majorHAnsi" w:eastAsia="Times New Roman" w:hAnsiTheme="majorHAnsi" w:cstheme="majorHAnsi"/>
          <w:lang w:eastAsia="fr-FR"/>
        </w:rPr>
        <w:t xml:space="preserve">d’informations </w:t>
      </w:r>
    </w:p>
    <w:p w14:paraId="2443801E" w14:textId="77777777" w:rsidR="007D17CA" w:rsidRPr="007D17CA" w:rsidRDefault="007D17CA" w:rsidP="004E7FB3">
      <w:pPr>
        <w:jc w:val="both"/>
        <w:rPr>
          <w:rFonts w:asciiTheme="majorHAnsi" w:eastAsia="Times New Roman" w:hAnsiTheme="majorHAnsi" w:cstheme="majorHAnsi"/>
          <w:lang w:eastAsia="fr-FR"/>
        </w:rPr>
      </w:pPr>
    </w:p>
    <w:p w14:paraId="200E4B58" w14:textId="27661F62" w:rsidR="004E7FB3" w:rsidRDefault="00557CDC" w:rsidP="00353EA2">
      <w:pPr>
        <w:pStyle w:val="Titre1"/>
        <w:rPr>
          <w:rFonts w:eastAsia="Times New Roman"/>
          <w:lang w:eastAsia="fr-FR"/>
        </w:rPr>
      </w:pPr>
      <w:bookmarkStart w:id="4" w:name="_Toc124393156"/>
      <w:bookmarkStart w:id="5" w:name="_Toc124490904"/>
      <w:r w:rsidRPr="007A4134">
        <w:rPr>
          <w:rFonts w:eastAsia="Times New Roman"/>
          <w:lang w:eastAsia="fr-FR"/>
        </w:rPr>
        <w:t>Étape</w:t>
      </w:r>
      <w:r w:rsidR="007A4134" w:rsidRPr="007A4134">
        <w:rPr>
          <w:rFonts w:eastAsia="Times New Roman"/>
          <w:lang w:eastAsia="fr-FR"/>
        </w:rPr>
        <w:t xml:space="preserve"> 2 : </w:t>
      </w:r>
      <w:r w:rsidR="004E7FB3" w:rsidRPr="007A4134">
        <w:rPr>
          <w:rFonts w:eastAsia="Times New Roman"/>
          <w:lang w:eastAsia="fr-FR"/>
        </w:rPr>
        <w:t>Qu’en est-il du délit de vol concernant des informations ?</w:t>
      </w:r>
      <w:bookmarkEnd w:id="4"/>
      <w:bookmarkEnd w:id="5"/>
      <w:r w:rsidR="004E7FB3" w:rsidRPr="007A4134">
        <w:rPr>
          <w:rFonts w:eastAsia="Times New Roman"/>
          <w:lang w:eastAsia="fr-FR"/>
        </w:rPr>
        <w:t xml:space="preserve"> </w:t>
      </w:r>
    </w:p>
    <w:p w14:paraId="589746E4" w14:textId="77777777" w:rsidR="007D17CA" w:rsidRPr="007D17CA" w:rsidRDefault="007D17CA" w:rsidP="007D17CA">
      <w:pPr>
        <w:rPr>
          <w:lang w:eastAsia="fr-FR"/>
        </w:rPr>
      </w:pPr>
    </w:p>
    <w:p w14:paraId="5F6D3CD1" w14:textId="77777777" w:rsidR="004E7FB3" w:rsidRDefault="004E7FB3" w:rsidP="004E7FB3">
      <w:pPr>
        <w:jc w:val="both"/>
        <w:rPr>
          <w:rFonts w:eastAsia="Times New Roman" w:cstheme="minorHAnsi"/>
          <w:sz w:val="22"/>
          <w:szCs w:val="22"/>
          <w:lang w:eastAsia="fr-FR"/>
        </w:rPr>
      </w:pPr>
    </w:p>
    <w:p w14:paraId="7CC3138F" w14:textId="5725F97A" w:rsidR="004E7FB3" w:rsidRPr="00557CDC" w:rsidRDefault="004E7FB3" w:rsidP="004E7FB3">
      <w:pPr>
        <w:jc w:val="both"/>
        <w:rPr>
          <w:rFonts w:eastAsia="Times New Roman" w:cstheme="minorHAnsi"/>
          <w:lang w:eastAsia="fr-FR"/>
        </w:rPr>
      </w:pPr>
      <w:r w:rsidRPr="00557CDC">
        <w:rPr>
          <w:rFonts w:eastAsia="Times New Roman" w:cstheme="minorHAnsi"/>
          <w:lang w:eastAsia="fr-FR"/>
        </w:rPr>
        <w:t xml:space="preserve"> La jurisprudence retenait la qualification de vol seulement s’il y av</w:t>
      </w:r>
      <w:r w:rsidRPr="00557CDC">
        <w:rPr>
          <w:rFonts w:cstheme="minorHAnsi"/>
        </w:rPr>
        <w:t>ait</w:t>
      </w:r>
      <w:r w:rsidRPr="00557CDC">
        <w:rPr>
          <w:rFonts w:eastAsia="Times New Roman" w:cstheme="minorHAnsi"/>
          <w:lang w:eastAsia="fr-FR"/>
        </w:rPr>
        <w:t xml:space="preserve"> soustraction du support matériel contenant l’information (exemple, vol d’une disquette).</w:t>
      </w:r>
    </w:p>
    <w:p w14:paraId="3B1C3F47" w14:textId="66E0A6AB" w:rsidR="004E7FB3" w:rsidRPr="00557CDC" w:rsidRDefault="004E7FB3" w:rsidP="007A4134">
      <w:pPr>
        <w:rPr>
          <w:rFonts w:cstheme="minorHAnsi"/>
        </w:rPr>
      </w:pPr>
      <w:r w:rsidRPr="00557CDC">
        <w:rPr>
          <w:rFonts w:cstheme="minorHAnsi"/>
        </w:rPr>
        <w:t>Par ailleurs, d’après la </w:t>
      </w:r>
      <w:r w:rsidRPr="00557CDC">
        <w:rPr>
          <w:rStyle w:val="lev"/>
          <w:rFonts w:cstheme="minorHAnsi"/>
        </w:rPr>
        <w:t>conception traditionnelle de la soustraction</w:t>
      </w:r>
      <w:r w:rsidRPr="00557CDC">
        <w:rPr>
          <w:rFonts w:cstheme="minorHAnsi"/>
        </w:rPr>
        <w:t>, il n’y a vol au sens de la loi que si la chose passe de la possession du légitime détenteur à celle de l’auteur du délit, sans que le premier le sache et contre son gré (</w:t>
      </w:r>
      <w:proofErr w:type="spellStart"/>
      <w:r w:rsidRPr="00557CDC">
        <w:rPr>
          <w:rStyle w:val="lev"/>
          <w:rFonts w:cstheme="minorHAnsi"/>
        </w:rPr>
        <w:t>Crim</w:t>
      </w:r>
      <w:proofErr w:type="spellEnd"/>
      <w:r w:rsidRPr="00557CDC">
        <w:rPr>
          <w:rStyle w:val="lev"/>
          <w:rFonts w:cstheme="minorHAnsi"/>
        </w:rPr>
        <w:t>. 18 nov. 1837</w:t>
      </w:r>
      <w:r w:rsidRPr="00557CDC">
        <w:rPr>
          <w:rFonts w:cstheme="minorHAnsi"/>
        </w:rPr>
        <w:t>).</w:t>
      </w:r>
      <w:r w:rsidRPr="00557CDC">
        <w:rPr>
          <w:rFonts w:cstheme="minorHAnsi"/>
        </w:rPr>
        <w:br/>
        <w:t xml:space="preserve">   </w:t>
      </w:r>
    </w:p>
    <w:p w14:paraId="45B44D86" w14:textId="3E8782DA" w:rsidR="004E7FB3" w:rsidRPr="007B1C5C" w:rsidRDefault="004E7FB3" w:rsidP="004E7FB3">
      <w:pPr>
        <w:jc w:val="both"/>
        <w:rPr>
          <w:rFonts w:cstheme="minorHAnsi"/>
          <w:b/>
          <w:bCs/>
          <w:u w:val="single"/>
        </w:rPr>
      </w:pPr>
      <w:r w:rsidRPr="007B1C5C">
        <w:rPr>
          <w:rFonts w:cstheme="minorHAnsi"/>
          <w:b/>
          <w:bCs/>
          <w:u w:val="single"/>
        </w:rPr>
        <w:t xml:space="preserve">   Si pour soustraire, il faut prendre la chose, l’enlever ou la ravir, s’approprier une information, est-ce nécessairement la soustraire à son propriétaire ?</w:t>
      </w:r>
    </w:p>
    <w:p w14:paraId="6FB3BFDB" w14:textId="5DD42C84" w:rsidR="007D17CA" w:rsidRPr="007B1C5C" w:rsidRDefault="007D17CA" w:rsidP="004E7FB3">
      <w:pPr>
        <w:jc w:val="both"/>
        <w:rPr>
          <w:rFonts w:cstheme="minorHAnsi"/>
          <w:b/>
          <w:bCs/>
          <w:u w:val="single"/>
        </w:rPr>
      </w:pPr>
    </w:p>
    <w:p w14:paraId="2FBCBCD0" w14:textId="77777777" w:rsidR="007D17CA" w:rsidRPr="007B1C5C" w:rsidRDefault="007D17CA" w:rsidP="004E7FB3">
      <w:pPr>
        <w:jc w:val="both"/>
        <w:rPr>
          <w:rFonts w:cstheme="minorHAnsi"/>
          <w:b/>
          <w:bCs/>
          <w:u w:val="single"/>
        </w:rPr>
      </w:pPr>
    </w:p>
    <w:p w14:paraId="26868BF4" w14:textId="77777777" w:rsidR="004E7FB3" w:rsidRPr="00557CDC" w:rsidRDefault="004E7FB3" w:rsidP="004E7FB3">
      <w:pPr>
        <w:jc w:val="both"/>
        <w:rPr>
          <w:rFonts w:eastAsia="Times New Roman" w:cstheme="minorHAnsi"/>
          <w:lang w:eastAsia="fr-FR"/>
        </w:rPr>
      </w:pPr>
    </w:p>
    <w:p w14:paraId="12B3CB10" w14:textId="77777777" w:rsidR="004E7FB3" w:rsidRPr="00557CDC" w:rsidRDefault="004E7FB3" w:rsidP="004E7FB3">
      <w:pPr>
        <w:jc w:val="both"/>
        <w:rPr>
          <w:rFonts w:eastAsia="Times New Roman" w:cstheme="minorHAnsi"/>
          <w:lang w:eastAsia="fr-FR"/>
        </w:rPr>
      </w:pPr>
      <w:r w:rsidRPr="00557CDC">
        <w:rPr>
          <w:rFonts w:eastAsia="Times New Roman" w:cstheme="minorHAnsi"/>
          <w:highlight w:val="yellow"/>
          <w:lang w:eastAsia="fr-FR"/>
        </w:rPr>
        <w:t>Commentaire d’un arrêt de 2015 : La Chambre criminelle a-t-elle consacré, en l’espèce, le vol d’informations indépendamment de tout support matériel ?</w:t>
      </w:r>
      <w:r w:rsidRPr="00557CDC">
        <w:rPr>
          <w:rFonts w:eastAsia="Times New Roman" w:cstheme="minorHAnsi"/>
          <w:lang w:eastAsia="fr-FR"/>
        </w:rPr>
        <w:t xml:space="preserve"> </w:t>
      </w:r>
    </w:p>
    <w:p w14:paraId="1681D9DD" w14:textId="77777777" w:rsidR="004E7FB3" w:rsidRPr="00557CDC" w:rsidRDefault="004E7FB3" w:rsidP="004E7FB3">
      <w:pPr>
        <w:jc w:val="both"/>
        <w:rPr>
          <w:rFonts w:eastAsia="Times New Roman" w:cstheme="minorHAnsi"/>
          <w:lang w:eastAsia="fr-FR"/>
        </w:rPr>
      </w:pPr>
    </w:p>
    <w:p w14:paraId="0E8FBDD8" w14:textId="77777777" w:rsidR="004E7FB3" w:rsidRPr="00557CDC" w:rsidRDefault="004E7FB3" w:rsidP="004E7FB3">
      <w:pPr>
        <w:jc w:val="both"/>
        <w:rPr>
          <w:rFonts w:eastAsia="Times New Roman" w:cstheme="minorHAnsi"/>
          <w:lang w:eastAsia="fr-FR"/>
        </w:rPr>
      </w:pPr>
      <w:r w:rsidRPr="00557CDC">
        <w:rPr>
          <w:rFonts w:eastAsia="Times New Roman" w:cstheme="minorHAnsi"/>
          <w:lang w:eastAsia="fr-FR"/>
        </w:rPr>
        <w:lastRenderedPageBreak/>
        <w:t>Lien vers l’arrêt :</w:t>
      </w:r>
    </w:p>
    <w:p w14:paraId="3B72B0AE" w14:textId="77777777" w:rsidR="004E7FB3" w:rsidRPr="00557CDC" w:rsidRDefault="00000000" w:rsidP="004E7FB3">
      <w:pPr>
        <w:jc w:val="both"/>
        <w:rPr>
          <w:rFonts w:eastAsia="Times New Roman" w:cstheme="minorHAnsi"/>
          <w:lang w:eastAsia="fr-FR"/>
        </w:rPr>
      </w:pPr>
      <w:hyperlink r:id="rId9" w:history="1">
        <w:r w:rsidR="004E7FB3" w:rsidRPr="00557CDC">
          <w:rPr>
            <w:rStyle w:val="Lienhypertexte"/>
            <w:rFonts w:eastAsia="Times New Roman" w:cstheme="minorHAnsi"/>
            <w:lang w:eastAsia="fr-FR"/>
          </w:rPr>
          <w:t>https://www.legifrance.gouv.fr/juri/id/JURITEXT000030635061/</w:t>
        </w:r>
      </w:hyperlink>
    </w:p>
    <w:p w14:paraId="39F0D94E" w14:textId="77777777" w:rsidR="004E7FB3" w:rsidRPr="00557CDC" w:rsidRDefault="004E7FB3" w:rsidP="004E7FB3">
      <w:pPr>
        <w:jc w:val="both"/>
        <w:rPr>
          <w:rFonts w:eastAsia="Times New Roman" w:cstheme="minorHAnsi"/>
          <w:lang w:eastAsia="fr-FR"/>
        </w:rPr>
      </w:pPr>
    </w:p>
    <w:p w14:paraId="67CD53DC" w14:textId="77777777" w:rsidR="004E7FB3" w:rsidRPr="00557CDC" w:rsidRDefault="004E7FB3" w:rsidP="004E7FB3">
      <w:pPr>
        <w:jc w:val="both"/>
        <w:rPr>
          <w:rFonts w:eastAsia="Times New Roman" w:cstheme="minorHAnsi"/>
          <w:lang w:eastAsia="fr-FR"/>
        </w:rPr>
      </w:pPr>
    </w:p>
    <w:p w14:paraId="4B17068C" w14:textId="77777777" w:rsidR="004E7FB3" w:rsidRPr="00557CDC" w:rsidRDefault="004E7FB3" w:rsidP="004E7FB3">
      <w:pPr>
        <w:pBdr>
          <w:top w:val="single" w:sz="4" w:space="1" w:color="auto"/>
          <w:left w:val="single" w:sz="4" w:space="4" w:color="auto"/>
          <w:bottom w:val="single" w:sz="4" w:space="1" w:color="auto"/>
          <w:right w:val="single" w:sz="4" w:space="4" w:color="auto"/>
        </w:pBdr>
        <w:jc w:val="both"/>
        <w:rPr>
          <w:rFonts w:eastAsia="Times New Roman" w:cstheme="minorHAnsi"/>
          <w:lang w:eastAsia="fr-FR"/>
        </w:rPr>
      </w:pPr>
      <w:r w:rsidRPr="00557CDC">
        <w:rPr>
          <w:rFonts w:eastAsia="Times New Roman" w:cstheme="minorHAnsi"/>
          <w:lang w:eastAsia="fr-FR"/>
        </w:rPr>
        <w:t xml:space="preserve">Document 2 : </w:t>
      </w:r>
      <w:r w:rsidRPr="00557CDC">
        <w:rPr>
          <w:rFonts w:cstheme="minorHAnsi"/>
        </w:rPr>
        <w:t xml:space="preserve">résumé de l’affaire : </w:t>
      </w:r>
      <w:hyperlink r:id="rId10" w:history="1">
        <w:r w:rsidRPr="00557CDC">
          <w:rPr>
            <w:rStyle w:val="Lienhypertexte"/>
            <w:rFonts w:cstheme="minorHAnsi"/>
          </w:rPr>
          <w:t>https://www.lepetitjuriste.fr/laffaire-bluetouff-condamne-pour-vol-de-donnees-librement-accessibles/</w:t>
        </w:r>
      </w:hyperlink>
    </w:p>
    <w:p w14:paraId="4D630AB7" w14:textId="77777777" w:rsidR="004E7FB3" w:rsidRPr="00557CDC" w:rsidRDefault="004E7FB3" w:rsidP="004E7FB3">
      <w:pPr>
        <w:pBdr>
          <w:top w:val="single" w:sz="4" w:space="1" w:color="auto"/>
          <w:left w:val="single" w:sz="4" w:space="4" w:color="auto"/>
          <w:bottom w:val="single" w:sz="4" w:space="1" w:color="auto"/>
          <w:right w:val="single" w:sz="4" w:space="4" w:color="auto"/>
        </w:pBdr>
        <w:jc w:val="both"/>
        <w:rPr>
          <w:rFonts w:cstheme="minorHAnsi"/>
        </w:rPr>
      </w:pPr>
    </w:p>
    <w:p w14:paraId="6B9EF0DC" w14:textId="77777777" w:rsidR="004E7FB3" w:rsidRPr="00557CDC" w:rsidRDefault="004E7FB3" w:rsidP="004E7FB3">
      <w:pPr>
        <w:pBdr>
          <w:top w:val="single" w:sz="4" w:space="1" w:color="auto"/>
          <w:left w:val="single" w:sz="4" w:space="4" w:color="auto"/>
          <w:bottom w:val="single" w:sz="4" w:space="1" w:color="auto"/>
          <w:right w:val="single" w:sz="4" w:space="4" w:color="auto"/>
        </w:pBdr>
        <w:jc w:val="both"/>
        <w:rPr>
          <w:rFonts w:cstheme="minorHAnsi"/>
        </w:rPr>
      </w:pPr>
      <w:r w:rsidRPr="00557CDC">
        <w:rPr>
          <w:rFonts w:cstheme="minorHAnsi"/>
        </w:rPr>
        <w:t xml:space="preserve">Par un arrêt rendu le 20 mai 2015, la chambre criminelle de la Cour de Cassation a confirmé la condamnation en appel du blogueur Olivier </w:t>
      </w:r>
      <w:proofErr w:type="spellStart"/>
      <w:r w:rsidRPr="00557CDC">
        <w:rPr>
          <w:rFonts w:cstheme="minorHAnsi"/>
        </w:rPr>
        <w:t>Laurelli</w:t>
      </w:r>
      <w:proofErr w:type="spellEnd"/>
      <w:r w:rsidRPr="00557CDC">
        <w:rPr>
          <w:rFonts w:cstheme="minorHAnsi"/>
        </w:rPr>
        <w:t>, alias « </w:t>
      </w:r>
      <w:proofErr w:type="spellStart"/>
      <w:r w:rsidRPr="00557CDC">
        <w:rPr>
          <w:rFonts w:cstheme="minorHAnsi"/>
        </w:rPr>
        <w:t>Bluetouff</w:t>
      </w:r>
      <w:proofErr w:type="spellEnd"/>
      <w:r w:rsidRPr="00557CDC">
        <w:rPr>
          <w:rFonts w:cstheme="minorHAnsi"/>
        </w:rPr>
        <w:t xml:space="preserve"> », à 3.000 € d’amende pour </w:t>
      </w:r>
      <w:r w:rsidRPr="00F86A73">
        <w:rPr>
          <w:rFonts w:cstheme="minorHAnsi"/>
          <w:b/>
          <w:bCs/>
        </w:rPr>
        <w:t>maintien frauduleux dans un système de traitement automatisé de données (STAD) et pour vol</w:t>
      </w:r>
      <w:r w:rsidRPr="00557CDC">
        <w:rPr>
          <w:rFonts w:cstheme="minorHAnsi"/>
        </w:rPr>
        <w:t>, alors que le chef d’accusation d’accès frauduleux à un STAD avait été rejeté.</w:t>
      </w:r>
    </w:p>
    <w:p w14:paraId="4B8B14B8" w14:textId="77777777" w:rsidR="004E7FB3" w:rsidRPr="00557CDC" w:rsidRDefault="004E7FB3" w:rsidP="004E7FB3">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557CDC">
        <w:rPr>
          <w:rFonts w:asciiTheme="minorHAnsi" w:hAnsiTheme="minorHAnsi" w:cstheme="minorHAnsi"/>
          <w:b/>
          <w:bCs/>
        </w:rPr>
        <w:t>Dans cette affaire, la Cour d’Appel de Paris et la Cour de cassation ont utilisé l’expression « vol de données ».</w:t>
      </w:r>
    </w:p>
    <w:p w14:paraId="31A6A6CB" w14:textId="77777777" w:rsidR="004E7FB3" w:rsidRPr="00557CDC" w:rsidRDefault="004E7FB3" w:rsidP="004E7FB3">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i/>
          <w:iCs/>
        </w:rPr>
      </w:pPr>
      <w:r w:rsidRPr="00557CDC">
        <w:rPr>
          <w:rFonts w:asciiTheme="minorHAnsi" w:hAnsiTheme="minorHAnsi" w:cstheme="minorHAnsi"/>
          <w:i/>
          <w:iCs/>
        </w:rPr>
        <w:t xml:space="preserve"> L’article 311-1 du Code Pénal dispose que « le vol est la soustraction frauduleuse de la chose d’autrui ».</w:t>
      </w:r>
    </w:p>
    <w:p w14:paraId="61598C51" w14:textId="62614B64" w:rsidR="004E7FB3" w:rsidRPr="00557CDC" w:rsidRDefault="004E7FB3" w:rsidP="004E7FB3">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b/>
          <w:bCs/>
          <w:i/>
          <w:iCs/>
        </w:rPr>
      </w:pPr>
      <w:r w:rsidRPr="00557CDC">
        <w:rPr>
          <w:rFonts w:asciiTheme="minorHAnsi" w:hAnsiTheme="minorHAnsi" w:cstheme="minorHAnsi"/>
          <w:b/>
          <w:bCs/>
          <w:i/>
          <w:iCs/>
        </w:rPr>
        <w:t>Or, comme l’a</w:t>
      </w:r>
      <w:r w:rsidR="007B1C5C">
        <w:rPr>
          <w:rFonts w:asciiTheme="minorHAnsi" w:hAnsiTheme="minorHAnsi" w:cstheme="minorHAnsi"/>
          <w:b/>
          <w:bCs/>
          <w:i/>
          <w:iCs/>
        </w:rPr>
        <w:t>vait</w:t>
      </w:r>
      <w:r w:rsidRPr="00557CDC">
        <w:rPr>
          <w:rFonts w:asciiTheme="minorHAnsi" w:hAnsiTheme="minorHAnsi" w:cstheme="minorHAnsi"/>
          <w:b/>
          <w:bCs/>
          <w:i/>
          <w:iCs/>
        </w:rPr>
        <w:t xml:space="preserve"> relevé le Tribunal Correctionnel de Crétei</w:t>
      </w:r>
      <w:r w:rsidR="007B1C5C">
        <w:rPr>
          <w:rFonts w:asciiTheme="minorHAnsi" w:hAnsiTheme="minorHAnsi" w:cstheme="minorHAnsi"/>
          <w:b/>
          <w:bCs/>
          <w:i/>
          <w:iCs/>
        </w:rPr>
        <w:t>l en première instance</w:t>
      </w:r>
      <w:r w:rsidRPr="00557CDC">
        <w:rPr>
          <w:rFonts w:asciiTheme="minorHAnsi" w:hAnsiTheme="minorHAnsi" w:cstheme="minorHAnsi"/>
          <w:b/>
          <w:bCs/>
          <w:i/>
          <w:iCs/>
        </w:rPr>
        <w:t>, cette disposition est difficilement applicable aux cas de « vol de données </w:t>
      </w:r>
      <w:r w:rsidRPr="00557CDC">
        <w:rPr>
          <w:rFonts w:asciiTheme="minorHAnsi" w:hAnsiTheme="minorHAnsi" w:cstheme="minorHAnsi"/>
          <w:b/>
          <w:bCs/>
          <w:i/>
          <w:iCs/>
          <w:u w:val="single"/>
        </w:rPr>
        <w:t>». En effet, dans ces cas, il n’y a pas, à proprement dit, de soustraction, car le fichier est copié et reste donc accessible à la victime</w:t>
      </w:r>
      <w:r w:rsidRPr="00557CDC">
        <w:rPr>
          <w:rFonts w:asciiTheme="minorHAnsi" w:hAnsiTheme="minorHAnsi" w:cstheme="minorHAnsi"/>
          <w:b/>
          <w:bCs/>
          <w:i/>
          <w:iCs/>
        </w:rPr>
        <w:t>. Le vol de bien immatériel n’est donc pas possible sauf exception expressément prévue par la loi comme le vol d’électricité, prévu par l’article 311-2 du Code Pénal.</w:t>
      </w:r>
    </w:p>
    <w:p w14:paraId="4368DFB5" w14:textId="77777777" w:rsidR="004E7FB3" w:rsidRPr="00557CDC" w:rsidRDefault="004E7FB3" w:rsidP="004E7FB3">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i/>
          <w:iCs/>
        </w:rPr>
      </w:pPr>
      <w:r w:rsidRPr="00557CDC">
        <w:rPr>
          <w:rFonts w:asciiTheme="minorHAnsi" w:hAnsiTheme="minorHAnsi" w:cstheme="minorHAnsi"/>
          <w:i/>
          <w:iCs/>
        </w:rPr>
        <w:t xml:space="preserve">(…) </w:t>
      </w:r>
      <w:r w:rsidRPr="00557CDC">
        <w:rPr>
          <w:rFonts w:asciiTheme="minorHAnsi" w:hAnsiTheme="minorHAnsi" w:cstheme="minorHAnsi"/>
          <w:b/>
          <w:bCs/>
          <w:i/>
          <w:iCs/>
        </w:rPr>
        <w:t>Cette affaire illustre la volonté des juges de mieux protéger les données numériques. Cette décision est toutefois contrastée par une solution contestable, élargissant la définition du vol au-delà de ce qui est prévu dans la loi, au risque de porter atteinte au principe de légalité des délits et des peines, bien qu’elles soient conformes aux objectifs politiques et législatifs actuels</w:t>
      </w:r>
      <w:r w:rsidRPr="00557CDC">
        <w:rPr>
          <w:rFonts w:asciiTheme="minorHAnsi" w:hAnsiTheme="minorHAnsi" w:cstheme="minorHAnsi"/>
          <w:i/>
          <w:iCs/>
        </w:rPr>
        <w:t>. »</w:t>
      </w:r>
    </w:p>
    <w:p w14:paraId="73081D3E" w14:textId="77777777" w:rsidR="00C61815" w:rsidRDefault="00C61815" w:rsidP="00557CDC">
      <w:pPr>
        <w:pStyle w:val="NormalWeb"/>
        <w:jc w:val="both"/>
        <w:rPr>
          <w:rFonts w:asciiTheme="minorHAnsi" w:hAnsiTheme="minorHAnsi" w:cstheme="minorHAnsi"/>
          <w:color w:val="4472C4" w:themeColor="accent1"/>
        </w:rPr>
      </w:pPr>
    </w:p>
    <w:p w14:paraId="295B0C41" w14:textId="4B901F28" w:rsidR="004E7FB3" w:rsidRPr="00557CDC" w:rsidRDefault="004E7FB3" w:rsidP="00557CDC">
      <w:pPr>
        <w:pStyle w:val="NormalWeb"/>
        <w:jc w:val="both"/>
        <w:rPr>
          <w:rFonts w:asciiTheme="minorHAnsi" w:hAnsiTheme="minorHAnsi" w:cstheme="minorHAnsi"/>
          <w:color w:val="4472C4" w:themeColor="accent1"/>
        </w:rPr>
      </w:pPr>
      <w:r w:rsidRPr="00557CDC">
        <w:rPr>
          <w:rFonts w:asciiTheme="minorHAnsi" w:hAnsiTheme="minorHAnsi" w:cstheme="minorHAnsi"/>
          <w:color w:val="4472C4" w:themeColor="accent1"/>
        </w:rPr>
        <w:t xml:space="preserve">Questions : </w:t>
      </w:r>
    </w:p>
    <w:p w14:paraId="24F1E9DD" w14:textId="77777777" w:rsidR="004E7FB3" w:rsidRPr="00557CDC" w:rsidRDefault="004E7FB3" w:rsidP="00557CDC">
      <w:pPr>
        <w:pStyle w:val="NormalWeb"/>
        <w:jc w:val="both"/>
        <w:rPr>
          <w:rFonts w:asciiTheme="minorHAnsi" w:hAnsiTheme="minorHAnsi" w:cstheme="minorHAnsi"/>
          <w:color w:val="4472C4" w:themeColor="accent1"/>
        </w:rPr>
      </w:pPr>
      <w:r w:rsidRPr="00557CDC">
        <w:rPr>
          <w:rFonts w:asciiTheme="minorHAnsi" w:hAnsiTheme="minorHAnsi" w:cstheme="minorHAnsi"/>
          <w:color w:val="4472C4" w:themeColor="accent1"/>
        </w:rPr>
        <w:t>1.Pour quel motif le Tribunal correctionnel de Créteil n’a-t-il pas retenu la qualification de vol ?</w:t>
      </w:r>
    </w:p>
    <w:p w14:paraId="6FA58B5D" w14:textId="4C661490" w:rsidR="004E7FB3" w:rsidRPr="00557CDC" w:rsidRDefault="004E7FB3" w:rsidP="00557CDC">
      <w:pPr>
        <w:pStyle w:val="NormalWeb"/>
        <w:jc w:val="both"/>
        <w:rPr>
          <w:rFonts w:asciiTheme="minorHAnsi" w:hAnsiTheme="minorHAnsi" w:cstheme="minorHAnsi"/>
          <w:color w:val="4472C4" w:themeColor="accent1"/>
        </w:rPr>
      </w:pPr>
      <w:r w:rsidRPr="00557CDC">
        <w:rPr>
          <w:rFonts w:asciiTheme="minorHAnsi" w:hAnsiTheme="minorHAnsi" w:cstheme="minorHAnsi"/>
          <w:color w:val="4472C4" w:themeColor="accent1"/>
        </w:rPr>
        <w:t xml:space="preserve">2. En quoi </w:t>
      </w:r>
      <w:r w:rsidR="007B1C5C">
        <w:rPr>
          <w:rFonts w:asciiTheme="minorHAnsi" w:hAnsiTheme="minorHAnsi" w:cstheme="minorHAnsi"/>
          <w:color w:val="4472C4" w:themeColor="accent1"/>
        </w:rPr>
        <w:t>la</w:t>
      </w:r>
      <w:r w:rsidRPr="00557CDC">
        <w:rPr>
          <w:rFonts w:asciiTheme="minorHAnsi" w:hAnsiTheme="minorHAnsi" w:cstheme="minorHAnsi"/>
          <w:color w:val="4472C4" w:themeColor="accent1"/>
        </w:rPr>
        <w:t xml:space="preserve"> solution </w:t>
      </w:r>
      <w:r w:rsidR="007B1C5C">
        <w:rPr>
          <w:rFonts w:asciiTheme="minorHAnsi" w:hAnsiTheme="minorHAnsi" w:cstheme="minorHAnsi"/>
          <w:color w:val="4472C4" w:themeColor="accent1"/>
        </w:rPr>
        <w:t xml:space="preserve">retenue par la Cour de cassation </w:t>
      </w:r>
      <w:r w:rsidRPr="00557CDC">
        <w:rPr>
          <w:rFonts w:asciiTheme="minorHAnsi" w:hAnsiTheme="minorHAnsi" w:cstheme="minorHAnsi"/>
          <w:color w:val="4472C4" w:themeColor="accent1"/>
        </w:rPr>
        <w:t xml:space="preserve">peut-elle être contestable ? </w:t>
      </w:r>
    </w:p>
    <w:p w14:paraId="281CF2FB" w14:textId="4D7AE32F" w:rsidR="00557CDC" w:rsidRDefault="004E7FB3" w:rsidP="00557CDC">
      <w:pPr>
        <w:pStyle w:val="NormalWeb"/>
        <w:jc w:val="both"/>
        <w:rPr>
          <w:rFonts w:asciiTheme="minorHAnsi" w:hAnsiTheme="minorHAnsi" w:cstheme="minorHAnsi"/>
          <w:color w:val="4472C4" w:themeColor="accent1"/>
        </w:rPr>
      </w:pPr>
      <w:r w:rsidRPr="00557CDC">
        <w:rPr>
          <w:rFonts w:asciiTheme="minorHAnsi" w:hAnsiTheme="minorHAnsi" w:cstheme="minorHAnsi"/>
          <w:color w:val="4472C4" w:themeColor="accent1"/>
        </w:rPr>
        <w:t>3. Pourquoi a-t-elle été néanmoins retenue ?</w:t>
      </w:r>
    </w:p>
    <w:p w14:paraId="1BD0413E" w14:textId="77777777" w:rsidR="00F86A73" w:rsidRPr="00557CDC" w:rsidRDefault="00F86A73" w:rsidP="00557CDC">
      <w:pPr>
        <w:pStyle w:val="NormalWeb"/>
        <w:jc w:val="both"/>
        <w:rPr>
          <w:rFonts w:asciiTheme="minorHAnsi" w:hAnsiTheme="minorHAnsi" w:cstheme="minorHAnsi"/>
          <w:color w:val="4472C4" w:themeColor="accent1"/>
        </w:rPr>
      </w:pPr>
    </w:p>
    <w:p w14:paraId="68207D42" w14:textId="77777777" w:rsidR="004E7FB3" w:rsidRPr="00557CDC" w:rsidRDefault="004E7FB3" w:rsidP="004E7FB3">
      <w:pPr>
        <w:jc w:val="both"/>
        <w:rPr>
          <w:rFonts w:eastAsia="Times New Roman" w:cstheme="minorHAnsi"/>
          <w:lang w:eastAsia="fr-FR"/>
        </w:rPr>
      </w:pPr>
    </w:p>
    <w:p w14:paraId="41724B02" w14:textId="77777777"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lang w:eastAsia="fr-FR"/>
        </w:rPr>
      </w:pPr>
      <w:r w:rsidRPr="00557CDC">
        <w:rPr>
          <w:rFonts w:eastAsia="Times New Roman" w:cstheme="minorHAnsi"/>
          <w:lang w:eastAsia="fr-FR"/>
        </w:rPr>
        <w:t xml:space="preserve">Document 3 : </w:t>
      </w:r>
    </w:p>
    <w:p w14:paraId="58B45322" w14:textId="77777777"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lang w:eastAsia="fr-FR"/>
        </w:rPr>
      </w:pPr>
      <w:proofErr w:type="spellStart"/>
      <w:r w:rsidRPr="00557CDC">
        <w:rPr>
          <w:rFonts w:eastAsia="Times New Roman" w:cstheme="minorHAnsi"/>
          <w:lang w:eastAsia="fr-FR"/>
        </w:rPr>
        <w:t>Matsopoulou</w:t>
      </w:r>
      <w:proofErr w:type="spellEnd"/>
      <w:r w:rsidRPr="00557CDC">
        <w:rPr>
          <w:rFonts w:eastAsia="Times New Roman" w:cstheme="minorHAnsi"/>
          <w:lang w:eastAsia="fr-FR"/>
        </w:rPr>
        <w:t xml:space="preserve"> </w:t>
      </w:r>
      <w:proofErr w:type="spellStart"/>
      <w:r w:rsidRPr="00557CDC">
        <w:rPr>
          <w:rFonts w:eastAsia="Times New Roman" w:cstheme="minorHAnsi"/>
          <w:lang w:eastAsia="fr-FR"/>
        </w:rPr>
        <w:t>Haritini</w:t>
      </w:r>
      <w:proofErr w:type="spellEnd"/>
      <w:r w:rsidRPr="00557CDC">
        <w:rPr>
          <w:rFonts w:eastAsia="Times New Roman" w:cstheme="minorHAnsi"/>
          <w:lang w:eastAsia="fr-FR"/>
        </w:rPr>
        <w:t xml:space="preserve">, « Infractions contre les biens », </w:t>
      </w:r>
      <w:r w:rsidRPr="00557CDC">
        <w:rPr>
          <w:rFonts w:eastAsia="Times New Roman" w:cstheme="minorHAnsi"/>
          <w:i/>
          <w:iCs/>
          <w:lang w:eastAsia="fr-FR"/>
        </w:rPr>
        <w:t>Revue de science criminelle et de droit pénal comparé</w:t>
      </w:r>
      <w:r w:rsidRPr="00557CDC">
        <w:rPr>
          <w:rFonts w:eastAsia="Times New Roman" w:cstheme="minorHAnsi"/>
          <w:lang w:eastAsia="fr-FR"/>
        </w:rPr>
        <w:t xml:space="preserve">, 2015/4 (N° 4), p. 857-869. DOI : 10.3917/rsc.1504.0857. URL : </w:t>
      </w:r>
      <w:hyperlink r:id="rId11" w:history="1">
        <w:r w:rsidRPr="00557CDC">
          <w:rPr>
            <w:rStyle w:val="Lienhypertexte"/>
            <w:rFonts w:eastAsia="Times New Roman" w:cstheme="minorHAnsi"/>
            <w:lang w:eastAsia="fr-FR"/>
          </w:rPr>
          <w:t>https://www.cairn.info/revue-de-science-criminelle-et-de-droit-penal-compare-2015-4-page-857.htm</w:t>
        </w:r>
      </w:hyperlink>
      <w:r w:rsidRPr="00557CDC">
        <w:rPr>
          <w:rFonts w:eastAsia="Times New Roman" w:cstheme="minorHAnsi"/>
          <w:lang w:eastAsia="fr-FR"/>
        </w:rPr>
        <w:t xml:space="preserve"> </w:t>
      </w:r>
    </w:p>
    <w:p w14:paraId="18E61D2A" w14:textId="77777777"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b/>
          <w:bCs/>
          <w:lang w:eastAsia="fr-FR"/>
        </w:rPr>
      </w:pPr>
      <w:r w:rsidRPr="00557CDC">
        <w:rPr>
          <w:rFonts w:eastAsia="Times New Roman" w:cstheme="minorHAnsi"/>
          <w:b/>
          <w:bCs/>
          <w:lang w:eastAsia="fr-FR"/>
        </w:rPr>
        <w:t>Extrait du commentaire de l’arrêt du 20 mai 2015</w:t>
      </w:r>
    </w:p>
    <w:p w14:paraId="4EF9979E" w14:textId="77777777"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lang w:eastAsia="fr-FR"/>
        </w:rPr>
      </w:pPr>
    </w:p>
    <w:p w14:paraId="583A6D8D" w14:textId="77777777"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b/>
          <w:bCs/>
          <w:lang w:eastAsia="fr-FR"/>
        </w:rPr>
      </w:pPr>
      <w:r w:rsidRPr="00557CDC">
        <w:rPr>
          <w:rFonts w:eastAsia="Times New Roman" w:cstheme="minorHAnsi"/>
          <w:lang w:eastAsia="fr-FR"/>
        </w:rPr>
        <w:t xml:space="preserve">L’auteur de l’article répond, dans cet extrait à la question suivante :  </w:t>
      </w:r>
      <w:r w:rsidRPr="007B1C5C">
        <w:rPr>
          <w:rFonts w:eastAsia="Times New Roman" w:cstheme="minorHAnsi"/>
          <w:b/>
          <w:bCs/>
          <w:highlight w:val="yellow"/>
          <w:lang w:eastAsia="fr-FR"/>
        </w:rPr>
        <w:t>Les données informatiques peuvent-elles, en l’absence de tout support matériel faire l’objet d’une « soustraction », au sens de l’article 311-1 du Code pénal ?</w:t>
      </w:r>
    </w:p>
    <w:p w14:paraId="54899C4E" w14:textId="77777777"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b/>
          <w:bCs/>
          <w:lang w:eastAsia="fr-FR"/>
        </w:rPr>
      </w:pPr>
    </w:p>
    <w:p w14:paraId="3E3E2D42" w14:textId="2F471CAF"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i/>
          <w:iCs/>
          <w:lang w:eastAsia="fr-FR"/>
        </w:rPr>
      </w:pPr>
      <w:r w:rsidRPr="00557CDC">
        <w:rPr>
          <w:rFonts w:eastAsia="Times New Roman" w:cstheme="minorHAnsi"/>
          <w:lang w:eastAsia="fr-FR"/>
        </w:rPr>
        <w:t>« </w:t>
      </w:r>
      <w:r w:rsidRPr="007B1C5C">
        <w:rPr>
          <w:rFonts w:eastAsia="Times New Roman" w:cstheme="minorHAnsi"/>
          <w:i/>
          <w:iCs/>
          <w:u w:val="single"/>
          <w:lang w:eastAsia="fr-FR"/>
        </w:rPr>
        <w:t>En l’espèce, l’internaute avait simplement téléchargé ces données, sans appréhender leur support physique</w:t>
      </w:r>
      <w:r w:rsidRPr="00557CDC">
        <w:rPr>
          <w:rFonts w:eastAsia="Times New Roman" w:cstheme="minorHAnsi"/>
          <w:i/>
          <w:iCs/>
          <w:lang w:eastAsia="fr-FR"/>
        </w:rPr>
        <w:t xml:space="preserve">. En réponse à cette question, la formule employée par la Cour de cassation « a soustrait des données » ne laisse place à aucun doute. Certes, </w:t>
      </w:r>
      <w:r w:rsidRPr="007B1C5C">
        <w:rPr>
          <w:rFonts w:eastAsia="Times New Roman" w:cstheme="minorHAnsi"/>
          <w:i/>
          <w:iCs/>
          <w:u w:val="single"/>
          <w:lang w:eastAsia="fr-FR"/>
        </w:rPr>
        <w:t>la solution adoptée par le présent arrêt est novatrice, car, jusqu’à présent, la jurisprudence n’admettait pas le vol d’un bien incorporel en l’absence de soustraction d’un support matériel</w:t>
      </w:r>
      <w:r w:rsidRPr="00557CDC">
        <w:rPr>
          <w:rFonts w:eastAsia="Times New Roman" w:cstheme="minorHAnsi"/>
          <w:i/>
          <w:iCs/>
          <w:lang w:eastAsia="fr-FR"/>
        </w:rPr>
        <w:t>. C’est qu’en effet, le « vol d’informations » ne pouvait être pénalement sanctionné que si ces dernières étaient contenues dans des documents comptables, disquettes informatiques, bandes magnétiques, et que si ces supports avaient été frauduleusement appréhendés par les prévenus pendant le temps nécessaire à la reproduction ou l’enregistrement des informations. Il est vrai que la jurisprudence a utilisé, dans certaines décisions, une formule ambigüe laissant penser que le « vol d’informations » pouvait être retenu indépendamment de tout support matériel.</w:t>
      </w:r>
      <w:r w:rsidR="00C61815">
        <w:rPr>
          <w:rFonts w:eastAsia="Times New Roman" w:cstheme="minorHAnsi"/>
          <w:i/>
          <w:iCs/>
          <w:lang w:eastAsia="fr-FR"/>
        </w:rPr>
        <w:t> »</w:t>
      </w:r>
    </w:p>
    <w:p w14:paraId="2C841638" w14:textId="77777777" w:rsidR="004E7FB3" w:rsidRPr="00557CDC" w:rsidRDefault="004E7FB3" w:rsidP="004E7FB3">
      <w:pPr>
        <w:jc w:val="both"/>
        <w:rPr>
          <w:rFonts w:eastAsia="Times New Roman" w:cstheme="minorHAnsi"/>
          <w:lang w:eastAsia="fr-FR"/>
        </w:rPr>
      </w:pPr>
    </w:p>
    <w:p w14:paraId="73541178" w14:textId="77777777" w:rsidR="007D17CA" w:rsidRPr="00334EC4" w:rsidRDefault="007D17CA" w:rsidP="004E7FB3">
      <w:pPr>
        <w:jc w:val="both"/>
        <w:rPr>
          <w:rFonts w:eastAsia="Times New Roman" w:cstheme="minorHAnsi"/>
          <w:color w:val="FF0000"/>
          <w:sz w:val="22"/>
          <w:szCs w:val="22"/>
          <w:lang w:eastAsia="fr-FR"/>
        </w:rPr>
      </w:pPr>
    </w:p>
    <w:p w14:paraId="43A4E0D1" w14:textId="77777777" w:rsidR="00557CDC" w:rsidRDefault="00557CDC" w:rsidP="00353EA2">
      <w:pPr>
        <w:pStyle w:val="Titre1"/>
        <w:rPr>
          <w:rFonts w:eastAsia="Times New Roman"/>
          <w:lang w:eastAsia="fr-FR"/>
        </w:rPr>
      </w:pPr>
      <w:bookmarkStart w:id="6" w:name="_Toc124393157"/>
    </w:p>
    <w:p w14:paraId="1ED9C97E" w14:textId="00A48C3E" w:rsidR="00BC2D4F" w:rsidRDefault="00557CDC" w:rsidP="00353EA2">
      <w:pPr>
        <w:pStyle w:val="Titre1"/>
        <w:rPr>
          <w:rFonts w:eastAsia="Times New Roman"/>
          <w:lang w:eastAsia="fr-FR"/>
        </w:rPr>
      </w:pPr>
      <w:bookmarkStart w:id="7" w:name="_Toc124490905"/>
      <w:r w:rsidRPr="00BC2D4F">
        <w:rPr>
          <w:rFonts w:eastAsia="Times New Roman"/>
          <w:lang w:eastAsia="fr-FR"/>
        </w:rPr>
        <w:t>Étape</w:t>
      </w:r>
      <w:r w:rsidR="00865A02" w:rsidRPr="00BC2D4F">
        <w:rPr>
          <w:rFonts w:eastAsia="Times New Roman"/>
          <w:lang w:eastAsia="fr-FR"/>
        </w:rPr>
        <w:t xml:space="preserve"> 3 : </w:t>
      </w:r>
      <w:r w:rsidR="004E7FB3" w:rsidRPr="00BC2D4F">
        <w:rPr>
          <w:rFonts w:eastAsia="Times New Roman"/>
          <w:lang w:eastAsia="fr-FR"/>
        </w:rPr>
        <w:t xml:space="preserve">La question de la portée juridique de </w:t>
      </w:r>
      <w:r w:rsidR="00BC2D4F">
        <w:rPr>
          <w:rFonts w:eastAsia="Times New Roman"/>
          <w:lang w:eastAsia="fr-FR"/>
        </w:rPr>
        <w:t>l’arrêt</w:t>
      </w:r>
      <w:bookmarkEnd w:id="6"/>
      <w:r w:rsidR="007D17CA">
        <w:rPr>
          <w:rFonts w:eastAsia="Times New Roman"/>
          <w:lang w:eastAsia="fr-FR"/>
        </w:rPr>
        <w:t xml:space="preserve"> du 20 mai 2015</w:t>
      </w:r>
      <w:bookmarkEnd w:id="7"/>
    </w:p>
    <w:p w14:paraId="0391A0F0" w14:textId="77777777" w:rsidR="007D17CA" w:rsidRPr="007D17CA" w:rsidRDefault="007D17CA" w:rsidP="007D17CA">
      <w:pPr>
        <w:rPr>
          <w:lang w:eastAsia="fr-FR"/>
        </w:rPr>
      </w:pPr>
    </w:p>
    <w:p w14:paraId="3FEDEA3D" w14:textId="5413B317" w:rsidR="004E7FB3" w:rsidRDefault="004E7FB3" w:rsidP="004E7FB3">
      <w:pPr>
        <w:jc w:val="both"/>
        <w:rPr>
          <w:rFonts w:eastAsia="Times New Roman" w:cstheme="minorHAnsi"/>
          <w:color w:val="FF0000"/>
          <w:sz w:val="22"/>
          <w:szCs w:val="22"/>
          <w:lang w:eastAsia="fr-FR"/>
        </w:rPr>
      </w:pPr>
    </w:p>
    <w:p w14:paraId="12CA4FAD" w14:textId="77777777" w:rsidR="007D17CA" w:rsidRPr="00557CDC" w:rsidRDefault="007D17CA" w:rsidP="004E7FB3">
      <w:pPr>
        <w:jc w:val="both"/>
        <w:rPr>
          <w:rFonts w:eastAsia="Times New Roman" w:cstheme="minorHAnsi"/>
          <w:color w:val="FF0000"/>
          <w:lang w:eastAsia="fr-FR"/>
        </w:rPr>
      </w:pPr>
    </w:p>
    <w:p w14:paraId="253FEEB1" w14:textId="77777777" w:rsidR="004E7FB3" w:rsidRPr="00557CDC" w:rsidRDefault="004E7FB3" w:rsidP="004E7FB3">
      <w:pPr>
        <w:jc w:val="both"/>
        <w:rPr>
          <w:rFonts w:eastAsia="Times New Roman" w:cstheme="minorHAnsi"/>
          <w:lang w:eastAsia="fr-FR"/>
        </w:rPr>
      </w:pPr>
    </w:p>
    <w:p w14:paraId="003D6664" w14:textId="77777777" w:rsidR="00557CDC" w:rsidRDefault="00557CDC" w:rsidP="004E7FB3">
      <w:pPr>
        <w:pBdr>
          <w:top w:val="single" w:sz="4" w:space="1" w:color="auto"/>
          <w:left w:val="single" w:sz="4" w:space="4" w:color="auto"/>
          <w:bottom w:val="single" w:sz="4" w:space="1" w:color="auto"/>
          <w:right w:val="single" w:sz="4" w:space="4" w:color="auto"/>
        </w:pBdr>
        <w:jc w:val="both"/>
        <w:rPr>
          <w:rFonts w:eastAsia="Times New Roman" w:cstheme="minorHAnsi"/>
          <w:lang w:eastAsia="fr-FR"/>
        </w:rPr>
      </w:pPr>
    </w:p>
    <w:p w14:paraId="20B4CF8C" w14:textId="72BB4DCA" w:rsidR="004E7FB3" w:rsidRPr="00557CDC" w:rsidRDefault="004E7FB3" w:rsidP="004E7FB3">
      <w:pPr>
        <w:pBdr>
          <w:top w:val="single" w:sz="4" w:space="1" w:color="auto"/>
          <w:left w:val="single" w:sz="4" w:space="4" w:color="auto"/>
          <w:bottom w:val="single" w:sz="4" w:space="1" w:color="auto"/>
          <w:right w:val="single" w:sz="4" w:space="4" w:color="auto"/>
        </w:pBdr>
        <w:jc w:val="both"/>
        <w:rPr>
          <w:rFonts w:eastAsia="Times New Roman" w:cstheme="minorHAnsi"/>
          <w:lang w:eastAsia="fr-FR"/>
        </w:rPr>
      </w:pPr>
      <w:r w:rsidRPr="00557CDC">
        <w:rPr>
          <w:rFonts w:eastAsia="Times New Roman" w:cstheme="minorHAnsi"/>
          <w:lang w:eastAsia="fr-FR"/>
        </w:rPr>
        <w:t xml:space="preserve">Document </w:t>
      </w:r>
      <w:r w:rsidR="00EE0A9A">
        <w:rPr>
          <w:rFonts w:eastAsia="Times New Roman" w:cstheme="minorHAnsi"/>
          <w:lang w:eastAsia="fr-FR"/>
        </w:rPr>
        <w:t>4</w:t>
      </w:r>
      <w:r w:rsidRPr="00557CDC">
        <w:rPr>
          <w:rFonts w:eastAsia="Times New Roman" w:cstheme="minorHAnsi"/>
          <w:lang w:eastAsia="fr-FR"/>
        </w:rPr>
        <w:t xml:space="preserve"> : Autre Extrait du commentaire </w:t>
      </w:r>
      <w:r w:rsidR="00865A02" w:rsidRPr="00557CDC">
        <w:rPr>
          <w:rFonts w:eastAsia="Times New Roman" w:cstheme="minorHAnsi"/>
          <w:lang w:eastAsia="fr-FR"/>
        </w:rPr>
        <w:t>d’arrêt du</w:t>
      </w:r>
      <w:r w:rsidRPr="00557CDC">
        <w:rPr>
          <w:rFonts w:eastAsia="Times New Roman" w:cstheme="minorHAnsi"/>
          <w:lang w:eastAsia="fr-FR"/>
        </w:rPr>
        <w:t xml:space="preserve"> 20 mai </w:t>
      </w:r>
      <w:proofErr w:type="gramStart"/>
      <w:r w:rsidRPr="00557CDC">
        <w:rPr>
          <w:rFonts w:eastAsia="Times New Roman" w:cstheme="minorHAnsi"/>
          <w:lang w:eastAsia="fr-FR"/>
        </w:rPr>
        <w:t>2015:</w:t>
      </w:r>
      <w:proofErr w:type="gramEnd"/>
      <w:r w:rsidRPr="00557CDC">
        <w:rPr>
          <w:rFonts w:eastAsia="Times New Roman" w:cstheme="minorHAnsi"/>
          <w:lang w:eastAsia="fr-FR"/>
        </w:rPr>
        <w:t xml:space="preserve"> </w:t>
      </w:r>
      <w:proofErr w:type="spellStart"/>
      <w:r w:rsidRPr="00557CDC">
        <w:rPr>
          <w:rFonts w:eastAsia="Times New Roman" w:cstheme="minorHAnsi"/>
          <w:lang w:eastAsia="fr-FR"/>
        </w:rPr>
        <w:t>Matsopoulou</w:t>
      </w:r>
      <w:proofErr w:type="spellEnd"/>
      <w:r w:rsidRPr="00557CDC">
        <w:rPr>
          <w:rFonts w:eastAsia="Times New Roman" w:cstheme="minorHAnsi"/>
          <w:lang w:eastAsia="fr-FR"/>
        </w:rPr>
        <w:t xml:space="preserve"> </w:t>
      </w:r>
      <w:proofErr w:type="spellStart"/>
      <w:r w:rsidRPr="00557CDC">
        <w:rPr>
          <w:rFonts w:eastAsia="Times New Roman" w:cstheme="minorHAnsi"/>
          <w:lang w:eastAsia="fr-FR"/>
        </w:rPr>
        <w:t>Haritini</w:t>
      </w:r>
      <w:proofErr w:type="spellEnd"/>
      <w:r w:rsidRPr="00557CDC">
        <w:rPr>
          <w:rFonts w:eastAsia="Times New Roman" w:cstheme="minorHAnsi"/>
          <w:lang w:eastAsia="fr-FR"/>
        </w:rPr>
        <w:t xml:space="preserve">, « Infractions contre les biens », </w:t>
      </w:r>
      <w:r w:rsidRPr="00557CDC">
        <w:rPr>
          <w:rFonts w:eastAsia="Times New Roman" w:cstheme="minorHAnsi"/>
          <w:i/>
          <w:iCs/>
          <w:lang w:eastAsia="fr-FR"/>
        </w:rPr>
        <w:t>Revue de science criminelle et de droit pénal comparé</w:t>
      </w:r>
      <w:r w:rsidRPr="00557CDC">
        <w:rPr>
          <w:rFonts w:eastAsia="Times New Roman" w:cstheme="minorHAnsi"/>
          <w:lang w:eastAsia="fr-FR"/>
        </w:rPr>
        <w:t xml:space="preserve">, 2015/4 (N° 4), p. 857-869. DOI : 10.3917/rsc.1504.0857. URL : </w:t>
      </w:r>
      <w:hyperlink r:id="rId12" w:history="1">
        <w:r w:rsidRPr="00557CDC">
          <w:rPr>
            <w:rStyle w:val="Lienhypertexte"/>
            <w:rFonts w:eastAsia="Times New Roman" w:cstheme="minorHAnsi"/>
            <w:lang w:eastAsia="fr-FR"/>
          </w:rPr>
          <w:t>https://www.cairn.info/revue-de-science-criminelle-et-de-droit-penal-compare-2015-4-page-857.htm</w:t>
        </w:r>
      </w:hyperlink>
    </w:p>
    <w:p w14:paraId="49E42926" w14:textId="77777777" w:rsidR="00C61815" w:rsidRDefault="00C61815" w:rsidP="004E7FB3">
      <w:pPr>
        <w:pBdr>
          <w:top w:val="single" w:sz="4" w:space="1" w:color="auto"/>
          <w:left w:val="single" w:sz="4" w:space="4" w:color="auto"/>
          <w:bottom w:val="single" w:sz="4" w:space="1" w:color="auto"/>
          <w:right w:val="single" w:sz="4" w:space="4" w:color="auto"/>
        </w:pBdr>
        <w:jc w:val="both"/>
        <w:rPr>
          <w:rFonts w:eastAsia="Times New Roman" w:cstheme="minorHAnsi"/>
          <w:lang w:eastAsia="fr-FR"/>
        </w:rPr>
      </w:pPr>
    </w:p>
    <w:p w14:paraId="538B0021" w14:textId="6B35D32A" w:rsidR="004E7FB3" w:rsidRPr="00557CDC" w:rsidRDefault="00C61815" w:rsidP="004E7FB3">
      <w:pPr>
        <w:pBdr>
          <w:top w:val="single" w:sz="4" w:space="1" w:color="auto"/>
          <w:left w:val="single" w:sz="4" w:space="4" w:color="auto"/>
          <w:bottom w:val="single" w:sz="4" w:space="1" w:color="auto"/>
          <w:right w:val="single" w:sz="4" w:space="4" w:color="auto"/>
        </w:pBdr>
        <w:jc w:val="both"/>
        <w:rPr>
          <w:rFonts w:eastAsia="Times New Roman" w:cstheme="minorHAnsi"/>
          <w:lang w:eastAsia="fr-FR"/>
        </w:rPr>
      </w:pPr>
      <w:r>
        <w:rPr>
          <w:rFonts w:eastAsia="Times New Roman" w:cstheme="minorHAnsi"/>
          <w:lang w:eastAsia="fr-FR"/>
        </w:rPr>
        <w:t>L</w:t>
      </w:r>
      <w:r w:rsidRPr="00C61815">
        <w:rPr>
          <w:rFonts w:eastAsia="Times New Roman" w:cstheme="minorHAnsi"/>
          <w:lang w:eastAsia="fr-FR"/>
        </w:rPr>
        <w:t xml:space="preserve">a </w:t>
      </w:r>
      <w:r>
        <w:rPr>
          <w:rFonts w:eastAsia="Times New Roman" w:cstheme="minorHAnsi"/>
          <w:lang w:eastAsia="fr-FR"/>
        </w:rPr>
        <w:t xml:space="preserve">Cour de cassation </w:t>
      </w:r>
      <w:r w:rsidRPr="00C61815">
        <w:rPr>
          <w:rFonts w:eastAsia="Times New Roman" w:cstheme="minorHAnsi"/>
          <w:lang w:eastAsia="fr-FR"/>
        </w:rPr>
        <w:t xml:space="preserve">a </w:t>
      </w:r>
      <w:r>
        <w:rPr>
          <w:rFonts w:eastAsia="Times New Roman" w:cstheme="minorHAnsi"/>
          <w:lang w:eastAsia="fr-FR"/>
        </w:rPr>
        <w:t xml:space="preserve">soumis </w:t>
      </w:r>
      <w:r w:rsidRPr="00C61815">
        <w:rPr>
          <w:rFonts w:eastAsia="Times New Roman" w:cstheme="minorHAnsi"/>
          <w:lang w:eastAsia="fr-FR"/>
        </w:rPr>
        <w:t>la répression du vol d’informations à une condition supplémentaire, à savoir l’utilisation desdites informations (« a soustrait des données qu’il a utilisées sans le consentement de leur propriétaire »)</w:t>
      </w:r>
      <w:r>
        <w:rPr>
          <w:rFonts w:eastAsia="Times New Roman" w:cstheme="minorHAnsi"/>
          <w:lang w:eastAsia="fr-FR"/>
        </w:rPr>
        <w:t>, ce qui n’est pas sans poser des problèmes juridiques.</w:t>
      </w:r>
    </w:p>
    <w:p w14:paraId="4E71F876" w14:textId="2C7193E1" w:rsidR="004E7FB3" w:rsidRPr="00557CDC" w:rsidRDefault="004E7FB3" w:rsidP="004E7FB3">
      <w:pPr>
        <w:pBdr>
          <w:top w:val="single" w:sz="4" w:space="1" w:color="auto"/>
          <w:left w:val="single" w:sz="4" w:space="4" w:color="auto"/>
          <w:bottom w:val="single" w:sz="4" w:space="1" w:color="auto"/>
          <w:right w:val="single" w:sz="4" w:space="4" w:color="auto"/>
        </w:pBdr>
        <w:jc w:val="both"/>
        <w:rPr>
          <w:rFonts w:eastAsia="Times New Roman" w:cstheme="minorHAnsi"/>
          <w:lang w:eastAsia="fr-FR"/>
        </w:rPr>
      </w:pPr>
    </w:p>
    <w:p w14:paraId="0555959F" w14:textId="6CA9BC16" w:rsidR="004E7FB3" w:rsidRPr="00557CDC" w:rsidRDefault="00C61815" w:rsidP="004E7FB3">
      <w:pPr>
        <w:pBdr>
          <w:top w:val="single" w:sz="4" w:space="1" w:color="auto"/>
          <w:left w:val="single" w:sz="4" w:space="4" w:color="auto"/>
          <w:bottom w:val="single" w:sz="4" w:space="1" w:color="auto"/>
          <w:right w:val="single" w:sz="4" w:space="4" w:color="auto"/>
        </w:pBdr>
        <w:jc w:val="both"/>
        <w:rPr>
          <w:rFonts w:eastAsia="Times New Roman" w:cstheme="minorHAnsi"/>
          <w:i/>
          <w:iCs/>
          <w:lang w:eastAsia="fr-FR"/>
        </w:rPr>
      </w:pPr>
      <w:r>
        <w:rPr>
          <w:rFonts w:eastAsia="Times New Roman" w:cstheme="minorHAnsi"/>
          <w:lang w:eastAsia="fr-FR"/>
        </w:rPr>
        <w:t>« </w:t>
      </w:r>
      <w:r w:rsidR="004E7FB3" w:rsidRPr="00557CDC">
        <w:rPr>
          <w:rFonts w:eastAsia="Times New Roman" w:cstheme="minorHAnsi"/>
          <w:i/>
          <w:iCs/>
          <w:highlight w:val="yellow"/>
          <w:lang w:eastAsia="fr-FR"/>
        </w:rPr>
        <w:t xml:space="preserve">Selon les hauts magistrats, la seule soustraction, réalisée ici par le téléchargement des données, ne suffit pas à constituer le délit ; il faut, en plus, que l’agent ait utilisé ces données. Ce faisant, la Cour de cassation s’est montrée peu respectueuse de la règle de l’interprétation stricte de la loi pénale, en limitant de manière arbitraire le champ d’application de l’article </w:t>
      </w:r>
      <w:r w:rsidR="004E7FB3" w:rsidRPr="00557CDC">
        <w:rPr>
          <w:rFonts w:eastAsia="Times New Roman" w:cstheme="minorHAnsi"/>
          <w:i/>
          <w:iCs/>
          <w:highlight w:val="yellow"/>
          <w:lang w:eastAsia="fr-FR"/>
        </w:rPr>
        <w:lastRenderedPageBreak/>
        <w:t>311-1 du code pénal, dès lors qu’il s’agit de biens incorporels.</w:t>
      </w:r>
      <w:r w:rsidR="004E7FB3" w:rsidRPr="00557CDC">
        <w:rPr>
          <w:rFonts w:eastAsia="Times New Roman" w:cstheme="minorHAnsi"/>
          <w:i/>
          <w:iCs/>
          <w:lang w:eastAsia="fr-FR"/>
        </w:rPr>
        <w:t xml:space="preserve"> Qu’on le veuille ou non, le vol est consommé par « la soustraction frauduleuse de la chose d’autrui », peu important que l’auteur en fasse ou non postérieurement usage. ( …) </w:t>
      </w:r>
    </w:p>
    <w:p w14:paraId="3F59A491" w14:textId="3FDAE61B" w:rsidR="004E7FB3" w:rsidRPr="00557CDC" w:rsidRDefault="00865A02" w:rsidP="004E7FB3">
      <w:pPr>
        <w:pBdr>
          <w:top w:val="single" w:sz="4" w:space="1" w:color="auto"/>
          <w:left w:val="single" w:sz="4" w:space="4" w:color="auto"/>
          <w:bottom w:val="single" w:sz="4" w:space="1" w:color="auto"/>
          <w:right w:val="single" w:sz="4" w:space="4" w:color="auto"/>
        </w:pBdr>
        <w:jc w:val="both"/>
        <w:rPr>
          <w:rFonts w:eastAsia="Times New Roman" w:cstheme="minorHAnsi"/>
          <w:i/>
          <w:iCs/>
          <w:lang w:eastAsia="fr-FR"/>
        </w:rPr>
      </w:pPr>
      <w:r w:rsidRPr="00557CDC">
        <w:rPr>
          <w:rFonts w:eastAsia="Times New Roman" w:cstheme="minorHAnsi"/>
          <w:i/>
          <w:iCs/>
          <w:lang w:eastAsia="fr-FR"/>
        </w:rPr>
        <w:t>A</w:t>
      </w:r>
      <w:r w:rsidR="004E7FB3" w:rsidRPr="00557CDC">
        <w:rPr>
          <w:rFonts w:eastAsia="Times New Roman" w:cstheme="minorHAnsi"/>
          <w:i/>
          <w:iCs/>
          <w:lang w:eastAsia="fr-FR"/>
        </w:rPr>
        <w:t xml:space="preserve"> la différence du « recel-profit », la caractérisation du vol n’exige pas que l’on se préoccupe des conséquences de la soustraction, c’est-à-dire de l’utilisation que l’auteur fait de la chose soustraite.</w:t>
      </w:r>
    </w:p>
    <w:p w14:paraId="6D0B242B" w14:textId="77777777" w:rsidR="004E7FB3" w:rsidRPr="00557CDC" w:rsidRDefault="004E7FB3" w:rsidP="004E7FB3">
      <w:pPr>
        <w:pBdr>
          <w:top w:val="single" w:sz="4" w:space="1" w:color="auto"/>
          <w:left w:val="single" w:sz="4" w:space="4" w:color="auto"/>
          <w:bottom w:val="single" w:sz="4" w:space="1" w:color="auto"/>
          <w:right w:val="single" w:sz="4" w:space="4" w:color="auto"/>
        </w:pBdr>
        <w:jc w:val="both"/>
        <w:rPr>
          <w:rFonts w:cstheme="minorHAnsi"/>
          <w:i/>
          <w:iCs/>
        </w:rPr>
      </w:pPr>
      <w:r w:rsidRPr="00557CDC">
        <w:rPr>
          <w:rFonts w:cstheme="minorHAnsi"/>
          <w:i/>
          <w:iCs/>
          <w:highlight w:val="yellow"/>
        </w:rPr>
        <w:t>Compte tenu de la condition imposée par le présent arrêt du 20 mai 2015, il est permis de penser que sa portée est limitée, et qu’il est loin d’annoncer un bouleversement de la matière. Il en est d’autant plus ainsi que, depuis la loi n o 2014-1353 du 13 novembre 2014, les faits, ayant donné lieu à la présente décision, tombent sous le coup de l’interdiction de l’article 323-3 du code pénal, qui sanctionne expressément le fait « d’extraire, de détenir, de reproduire, de transmettre » des données contenues dans un système de traitement automatisé. L’incrimination spécifique définie par ce texte, qui n’était pas applicable au moment de la commission des faits, devra désormais être retenue dans des situations analogues, si bien que les juges répressifs n’auront nul besoin, dans l’avenir, de malmener les dispositions de l’article 311-1 du code pénal</w:t>
      </w:r>
      <w:r w:rsidRPr="00557CDC">
        <w:rPr>
          <w:rFonts w:cstheme="minorHAnsi"/>
          <w:highlight w:val="yellow"/>
        </w:rPr>
        <w:t> »</w:t>
      </w:r>
    </w:p>
    <w:p w14:paraId="0308D2DC" w14:textId="77777777" w:rsidR="004E7FB3" w:rsidRPr="00557CDC" w:rsidRDefault="004E7FB3" w:rsidP="004E7FB3">
      <w:pPr>
        <w:pBdr>
          <w:top w:val="single" w:sz="4" w:space="1" w:color="auto"/>
          <w:left w:val="single" w:sz="4" w:space="4" w:color="auto"/>
          <w:bottom w:val="single" w:sz="4" w:space="1" w:color="auto"/>
          <w:right w:val="single" w:sz="4" w:space="4" w:color="auto"/>
        </w:pBdr>
        <w:jc w:val="both"/>
        <w:rPr>
          <w:rFonts w:cstheme="minorHAnsi"/>
        </w:rPr>
      </w:pPr>
    </w:p>
    <w:p w14:paraId="63EE7FCB" w14:textId="77777777" w:rsidR="007D17CA" w:rsidRPr="00557CDC" w:rsidRDefault="007D17CA" w:rsidP="007D17CA">
      <w:pPr>
        <w:jc w:val="both"/>
        <w:rPr>
          <w:rFonts w:cstheme="minorHAnsi"/>
          <w:color w:val="4472C4" w:themeColor="accent1"/>
        </w:rPr>
      </w:pPr>
    </w:p>
    <w:p w14:paraId="32828421" w14:textId="4E8DCC44" w:rsidR="007D17CA" w:rsidRDefault="007D17CA" w:rsidP="007D17CA">
      <w:pPr>
        <w:jc w:val="both"/>
        <w:rPr>
          <w:rFonts w:cstheme="minorHAnsi"/>
          <w:color w:val="4472C4" w:themeColor="accent1"/>
        </w:rPr>
      </w:pPr>
    </w:p>
    <w:p w14:paraId="30E2208D" w14:textId="77777777" w:rsidR="00557CDC" w:rsidRPr="00557CDC" w:rsidRDefault="00557CDC" w:rsidP="007D17CA">
      <w:pPr>
        <w:jc w:val="both"/>
        <w:rPr>
          <w:rFonts w:cstheme="minorHAnsi"/>
          <w:color w:val="4472C4" w:themeColor="accent1"/>
        </w:rPr>
      </w:pPr>
    </w:p>
    <w:p w14:paraId="048DFA6C" w14:textId="4FA971E0" w:rsidR="004E7FB3" w:rsidRPr="00557CDC" w:rsidRDefault="004E7FB3" w:rsidP="007D17CA">
      <w:pPr>
        <w:jc w:val="both"/>
        <w:rPr>
          <w:rFonts w:cstheme="minorHAnsi"/>
          <w:color w:val="4472C4" w:themeColor="accent1"/>
        </w:rPr>
      </w:pPr>
      <w:r w:rsidRPr="00557CDC">
        <w:rPr>
          <w:rFonts w:cstheme="minorHAnsi"/>
          <w:color w:val="4472C4" w:themeColor="accent1"/>
        </w:rPr>
        <w:t xml:space="preserve">Questions </w:t>
      </w:r>
    </w:p>
    <w:p w14:paraId="55CCB310" w14:textId="77777777" w:rsidR="004E7FB3" w:rsidRPr="00557CDC" w:rsidRDefault="004E7FB3" w:rsidP="007D17CA">
      <w:pPr>
        <w:jc w:val="both"/>
        <w:rPr>
          <w:rFonts w:cstheme="minorHAnsi"/>
          <w:color w:val="4472C4" w:themeColor="accent1"/>
        </w:rPr>
      </w:pPr>
    </w:p>
    <w:p w14:paraId="28FE55A1" w14:textId="77777777" w:rsidR="004E7FB3" w:rsidRPr="00557CDC" w:rsidRDefault="004E7FB3" w:rsidP="007D17CA">
      <w:pPr>
        <w:jc w:val="both"/>
        <w:rPr>
          <w:rFonts w:cstheme="minorHAnsi"/>
          <w:color w:val="4472C4" w:themeColor="accent1"/>
        </w:rPr>
      </w:pPr>
      <w:r w:rsidRPr="00557CDC">
        <w:rPr>
          <w:rFonts w:cstheme="minorHAnsi"/>
          <w:color w:val="4472C4" w:themeColor="accent1"/>
        </w:rPr>
        <w:t>1. A quelles conditions la Cour de cassation soumet-elle la répression du vol d’informations ?</w:t>
      </w:r>
    </w:p>
    <w:p w14:paraId="4027D077" w14:textId="77777777" w:rsidR="004E7FB3" w:rsidRPr="00557CDC" w:rsidRDefault="004E7FB3" w:rsidP="007D17CA">
      <w:pPr>
        <w:jc w:val="both"/>
        <w:rPr>
          <w:rFonts w:cstheme="minorHAnsi"/>
          <w:color w:val="4472C4" w:themeColor="accent1"/>
        </w:rPr>
      </w:pPr>
    </w:p>
    <w:p w14:paraId="527529F0" w14:textId="77777777" w:rsidR="004E7FB3" w:rsidRPr="00557CDC" w:rsidRDefault="004E7FB3" w:rsidP="007D17CA">
      <w:pPr>
        <w:jc w:val="both"/>
        <w:rPr>
          <w:rFonts w:cstheme="minorHAnsi"/>
          <w:color w:val="4472C4" w:themeColor="accent1"/>
        </w:rPr>
      </w:pPr>
      <w:r w:rsidRPr="00557CDC">
        <w:rPr>
          <w:rFonts w:cstheme="minorHAnsi"/>
          <w:color w:val="4472C4" w:themeColor="accent1"/>
        </w:rPr>
        <w:t>2. Dans quelle mesure a-t-elle limité le champ d’application de l’article 311-1 du Code pénal ?</w:t>
      </w:r>
    </w:p>
    <w:p w14:paraId="73D6CBAE" w14:textId="77777777" w:rsidR="004E7FB3" w:rsidRPr="00557CDC" w:rsidRDefault="004E7FB3" w:rsidP="007D17CA">
      <w:pPr>
        <w:jc w:val="both"/>
        <w:rPr>
          <w:rFonts w:cstheme="minorHAnsi"/>
          <w:color w:val="4472C4" w:themeColor="accent1"/>
        </w:rPr>
      </w:pPr>
    </w:p>
    <w:p w14:paraId="1250B6D8" w14:textId="77777777" w:rsidR="004E7FB3" w:rsidRPr="00557CDC" w:rsidRDefault="004E7FB3" w:rsidP="007D17CA">
      <w:pPr>
        <w:jc w:val="both"/>
        <w:rPr>
          <w:rFonts w:cstheme="minorHAnsi"/>
          <w:color w:val="4472C4" w:themeColor="accent1"/>
        </w:rPr>
      </w:pPr>
      <w:r w:rsidRPr="00557CDC">
        <w:rPr>
          <w:rFonts w:cstheme="minorHAnsi"/>
          <w:color w:val="4472C4" w:themeColor="accent1"/>
        </w:rPr>
        <w:t xml:space="preserve">3. En quoi la portée de cet arrêt est-elle limitée ? </w:t>
      </w:r>
    </w:p>
    <w:p w14:paraId="3D832DD9" w14:textId="77777777" w:rsidR="004E7FB3" w:rsidRPr="00557CDC" w:rsidRDefault="004E7FB3" w:rsidP="007D17CA">
      <w:pPr>
        <w:jc w:val="both"/>
        <w:rPr>
          <w:rFonts w:cstheme="minorHAnsi"/>
          <w:color w:val="4472C4" w:themeColor="accent1"/>
        </w:rPr>
      </w:pPr>
    </w:p>
    <w:p w14:paraId="6C82AC34" w14:textId="77777777" w:rsidR="004E7FB3" w:rsidRPr="00557CDC" w:rsidRDefault="004E7FB3" w:rsidP="007D17CA">
      <w:pPr>
        <w:jc w:val="both"/>
        <w:rPr>
          <w:rFonts w:cstheme="minorHAnsi"/>
          <w:color w:val="4472C4" w:themeColor="accent1"/>
        </w:rPr>
      </w:pPr>
      <w:r w:rsidRPr="00557CDC">
        <w:rPr>
          <w:rFonts w:cstheme="minorHAnsi"/>
          <w:color w:val="4472C4" w:themeColor="accent1"/>
        </w:rPr>
        <w:t>4. Pourquoi les juges n’ont -ils pas appliqué l’article 323- 3 du code pénal ?</w:t>
      </w:r>
    </w:p>
    <w:p w14:paraId="6C1546F1" w14:textId="77777777" w:rsidR="004E7FB3" w:rsidRPr="00557CDC" w:rsidRDefault="004E7FB3" w:rsidP="007D17CA"/>
    <w:p w14:paraId="074F75BA" w14:textId="7E828D42" w:rsidR="004E7FB3" w:rsidRPr="00557CDC" w:rsidRDefault="004E7FB3" w:rsidP="004E7FB3"/>
    <w:p w14:paraId="0C536C77" w14:textId="77777777" w:rsidR="00557CDC" w:rsidRPr="00334EC4" w:rsidRDefault="00557CDC" w:rsidP="004E7FB3">
      <w:pPr>
        <w:rPr>
          <w:sz w:val="22"/>
          <w:szCs w:val="22"/>
        </w:rPr>
      </w:pPr>
    </w:p>
    <w:p w14:paraId="1F68E640" w14:textId="423ACFC0" w:rsidR="00BC2D4F" w:rsidRDefault="00BC2D4F" w:rsidP="00353EA2">
      <w:pPr>
        <w:pStyle w:val="Titre1"/>
      </w:pPr>
      <w:bookmarkStart w:id="8" w:name="_Toc124393158"/>
      <w:bookmarkStart w:id="9" w:name="_Toc124490906"/>
      <w:proofErr w:type="spellStart"/>
      <w:r w:rsidRPr="00BC2D4F">
        <w:t>Etape</w:t>
      </w:r>
      <w:proofErr w:type="spellEnd"/>
      <w:r w:rsidRPr="00BC2D4F">
        <w:t xml:space="preserve"> 4 - la solution juridique</w:t>
      </w:r>
      <w:bookmarkEnd w:id="8"/>
      <w:bookmarkEnd w:id="9"/>
      <w:r w:rsidRPr="00BC2D4F">
        <w:t> </w:t>
      </w:r>
    </w:p>
    <w:p w14:paraId="6540C0E7" w14:textId="00355B0D" w:rsidR="00353EA2" w:rsidRDefault="00353EA2" w:rsidP="00BC2D4F">
      <w:pPr>
        <w:jc w:val="both"/>
        <w:rPr>
          <w:b/>
          <w:bCs/>
          <w:color w:val="002060"/>
          <w:sz w:val="22"/>
          <w:szCs w:val="22"/>
        </w:rPr>
      </w:pPr>
    </w:p>
    <w:p w14:paraId="19F2C23D" w14:textId="77777777" w:rsidR="00353EA2" w:rsidRPr="00BC2D4F" w:rsidRDefault="00353EA2" w:rsidP="00BC2D4F">
      <w:pPr>
        <w:jc w:val="both"/>
        <w:rPr>
          <w:b/>
          <w:bCs/>
          <w:color w:val="002060"/>
          <w:sz w:val="22"/>
          <w:szCs w:val="22"/>
        </w:rPr>
      </w:pPr>
    </w:p>
    <w:p w14:paraId="37BE6508" w14:textId="5CC483D5" w:rsidR="00BC2D4F" w:rsidRPr="00557CDC" w:rsidRDefault="00BC2D4F" w:rsidP="00BC2D4F">
      <w:pPr>
        <w:jc w:val="both"/>
        <w:rPr>
          <w:rFonts w:eastAsia="Times New Roman" w:cstheme="minorHAnsi"/>
          <w:b/>
          <w:bCs/>
          <w:color w:val="000000" w:themeColor="text1"/>
          <w:lang w:eastAsia="fr-FR"/>
        </w:rPr>
      </w:pPr>
      <w:r w:rsidRPr="00557CDC">
        <w:rPr>
          <w:color w:val="000000" w:themeColor="text1"/>
        </w:rPr>
        <w:t>L</w:t>
      </w:r>
      <w:r w:rsidRPr="00557CDC">
        <w:rPr>
          <w:rFonts w:eastAsia="Times New Roman" w:cstheme="minorHAnsi"/>
          <w:b/>
          <w:bCs/>
          <w:color w:val="000000" w:themeColor="text1"/>
          <w:lang w:eastAsia="fr-FR"/>
        </w:rPr>
        <w:t>a loi du 13 novembre 2014 introduit dans le code pénal l’article 323-3 </w:t>
      </w:r>
    </w:p>
    <w:p w14:paraId="7A02582B" w14:textId="77C39A0D" w:rsidR="00BC2D4F" w:rsidRPr="00557CDC" w:rsidRDefault="00BC2D4F" w:rsidP="007D17CA">
      <w:pPr>
        <w:jc w:val="both"/>
        <w:rPr>
          <w:rFonts w:eastAsia="Times New Roman" w:cstheme="minorHAnsi"/>
          <w:b/>
          <w:bCs/>
          <w:color w:val="002060"/>
          <w:lang w:eastAsia="fr-FR"/>
        </w:rPr>
      </w:pPr>
    </w:p>
    <w:p w14:paraId="25F9E2E7" w14:textId="77777777" w:rsidR="007D17CA" w:rsidRPr="00557CDC" w:rsidRDefault="007D17CA" w:rsidP="007D17CA">
      <w:pPr>
        <w:jc w:val="both"/>
        <w:rPr>
          <w:rFonts w:eastAsia="Times New Roman" w:cstheme="minorHAnsi"/>
          <w:b/>
          <w:bCs/>
          <w:color w:val="002060"/>
          <w:lang w:eastAsia="fr-FR"/>
        </w:rPr>
      </w:pPr>
    </w:p>
    <w:p w14:paraId="0053DDC0" w14:textId="77777777" w:rsidR="00BC2D4F" w:rsidRPr="00557CDC" w:rsidRDefault="00BC2D4F" w:rsidP="007D17CA">
      <w:pPr>
        <w:spacing w:line="276" w:lineRule="auto"/>
        <w:jc w:val="both"/>
        <w:rPr>
          <w:color w:val="000000" w:themeColor="text1"/>
        </w:rPr>
      </w:pPr>
      <w:r w:rsidRPr="00557CDC">
        <w:rPr>
          <w:color w:val="000000" w:themeColor="text1"/>
        </w:rPr>
        <w:t>L’article 323-3 du code pénal (modifié par la loi n°2015-912 du 24 juillet 2015) dispose que « </w:t>
      </w:r>
      <w:r w:rsidRPr="00557CDC">
        <w:rPr>
          <w:rStyle w:val="Accentuation"/>
          <w:color w:val="000000" w:themeColor="text1"/>
        </w:rPr>
        <w:t>Le fait d’introduire frauduleusement des données dans un système de traitement automatisé, d’extraire, de détenir, de reproduire, de transmettre, de supprimer ou de modifier frauduleusement les données qu’il contient est puni de cinq ans d’emprisonnement et de 150 000 € d’amende.</w:t>
      </w:r>
      <w:r w:rsidRPr="00557CDC">
        <w:rPr>
          <w:color w:val="000000" w:themeColor="text1"/>
        </w:rPr>
        <w:t> ».</w:t>
      </w:r>
    </w:p>
    <w:p w14:paraId="2C6EB27F" w14:textId="77777777" w:rsidR="00BC2D4F" w:rsidRPr="00557CDC" w:rsidRDefault="00BC2D4F" w:rsidP="007D17CA">
      <w:pPr>
        <w:spacing w:line="276" w:lineRule="auto"/>
        <w:jc w:val="both"/>
        <w:rPr>
          <w:color w:val="000000" w:themeColor="text1"/>
        </w:rPr>
      </w:pPr>
      <w:r w:rsidRPr="00557CDC">
        <w:rPr>
          <w:color w:val="000000" w:themeColor="text1"/>
        </w:rPr>
        <w:t>Cette infraction est susceptible de mettre un terme à l’insécurité juridique générée par les condamnations pour vol d’informations.</w:t>
      </w:r>
    </w:p>
    <w:p w14:paraId="35F09304" w14:textId="77777777" w:rsidR="00EE0A9A" w:rsidRPr="00557CDC" w:rsidRDefault="00EE0A9A" w:rsidP="004E7FB3"/>
    <w:p w14:paraId="437C5845" w14:textId="77777777" w:rsidR="007D17CA" w:rsidRPr="00557CDC" w:rsidRDefault="007D17CA" w:rsidP="004E7FB3"/>
    <w:p w14:paraId="009F0CA7" w14:textId="10662D35" w:rsidR="004E7FB3" w:rsidRPr="00557CDC" w:rsidRDefault="004E7FB3" w:rsidP="004E7FB3">
      <w:pPr>
        <w:pBdr>
          <w:top w:val="single" w:sz="4" w:space="1" w:color="auto"/>
          <w:left w:val="single" w:sz="4" w:space="4" w:color="auto"/>
          <w:bottom w:val="single" w:sz="4" w:space="1" w:color="auto"/>
          <w:right w:val="single" w:sz="4" w:space="4" w:color="auto"/>
        </w:pBdr>
        <w:jc w:val="both"/>
      </w:pPr>
      <w:r w:rsidRPr="00557CDC">
        <w:t xml:space="preserve">Document </w:t>
      </w:r>
      <w:r w:rsidR="00EE0A9A">
        <w:t>5</w:t>
      </w:r>
      <w:r w:rsidRPr="00557CDC">
        <w:t xml:space="preserve"> </w:t>
      </w:r>
    </w:p>
    <w:p w14:paraId="70B507FB" w14:textId="77777777" w:rsidR="004E7FB3" w:rsidRPr="00557CDC" w:rsidRDefault="004E7FB3" w:rsidP="004E7FB3">
      <w:pPr>
        <w:pBdr>
          <w:top w:val="single" w:sz="4" w:space="1" w:color="auto"/>
          <w:left w:val="single" w:sz="4" w:space="4" w:color="auto"/>
          <w:bottom w:val="single" w:sz="4" w:space="1" w:color="auto"/>
          <w:right w:val="single" w:sz="4" w:space="4" w:color="auto"/>
        </w:pBdr>
        <w:jc w:val="both"/>
        <w:rPr>
          <w:rStyle w:val="lev"/>
        </w:rPr>
      </w:pPr>
      <w:r w:rsidRPr="00557CDC">
        <w:t xml:space="preserve">Source : </w:t>
      </w:r>
    </w:p>
    <w:p w14:paraId="59FB1F34" w14:textId="2173CEF5" w:rsidR="004E7FB3" w:rsidRPr="00EE0A9A" w:rsidRDefault="00000000" w:rsidP="004E7FB3">
      <w:pPr>
        <w:pBdr>
          <w:top w:val="single" w:sz="4" w:space="1" w:color="auto"/>
          <w:left w:val="single" w:sz="4" w:space="4" w:color="auto"/>
          <w:bottom w:val="single" w:sz="4" w:space="1" w:color="auto"/>
          <w:right w:val="single" w:sz="4" w:space="4" w:color="auto"/>
        </w:pBdr>
        <w:jc w:val="both"/>
        <w:rPr>
          <w:b/>
          <w:bCs/>
        </w:rPr>
      </w:pPr>
      <w:hyperlink r:id="rId13" w:history="1">
        <w:r w:rsidR="004E7FB3" w:rsidRPr="00557CDC">
          <w:rPr>
            <w:rStyle w:val="Lienhypertexte"/>
            <w:b/>
            <w:bCs/>
          </w:rPr>
          <w:t>https://www.dalloz-actualite.fr/sites/dalloz-actualite.fr/files/resources/2017/07/fl1207vt1681113.pdf</w:t>
        </w:r>
      </w:hyperlink>
    </w:p>
    <w:p w14:paraId="11E8E808" w14:textId="77777777" w:rsidR="004E7FB3" w:rsidRPr="00557CDC" w:rsidRDefault="004E7FB3" w:rsidP="004E7FB3">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14:paraId="2F1A4217" w14:textId="77777777"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rPr>
          <w:b/>
          <w:bCs/>
          <w:color w:val="000000" w:themeColor="text1"/>
        </w:rPr>
      </w:pPr>
      <w:r w:rsidRPr="00557CDC">
        <w:rPr>
          <w:b/>
          <w:bCs/>
          <w:color w:val="000000" w:themeColor="text1"/>
        </w:rPr>
        <w:t xml:space="preserve">Par un arrêt du 28 juin 2017, la Chambre criminelle de la Cour de cassation a estimé </w:t>
      </w:r>
      <w:r w:rsidRPr="00557CDC">
        <w:rPr>
          <w:b/>
          <w:bCs/>
          <w:color w:val="000000" w:themeColor="text1"/>
          <w:highlight w:val="yellow"/>
        </w:rPr>
        <w:t xml:space="preserve">que </w:t>
      </w:r>
      <w:r w:rsidRPr="00557CDC">
        <w:rPr>
          <w:b/>
          <w:bCs/>
          <w:i/>
          <w:iCs/>
          <w:color w:val="000000" w:themeColor="text1"/>
          <w:highlight w:val="yellow"/>
        </w:rPr>
        <w:t>« le libre accès à des informations personnelles sur un réseau informatique d’une entreprise n’est pas exclusif de leur appropriation frauduleuse par tout moyen de reproduction »</w:t>
      </w:r>
      <w:r w:rsidRPr="00557CDC">
        <w:rPr>
          <w:b/>
          <w:bCs/>
          <w:color w:val="000000" w:themeColor="text1"/>
          <w:highlight w:val="yellow"/>
        </w:rPr>
        <w:t>.</w:t>
      </w:r>
    </w:p>
    <w:p w14:paraId="1D663543" w14:textId="77777777"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rPr>
          <w:b/>
          <w:bCs/>
          <w:color w:val="000000" w:themeColor="text1"/>
        </w:rPr>
      </w:pPr>
    </w:p>
    <w:p w14:paraId="75161B10" w14:textId="77777777"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rPr>
          <w:color w:val="000000" w:themeColor="text1"/>
        </w:rPr>
      </w:pPr>
      <w:r w:rsidRPr="00557CDC">
        <w:rPr>
          <w:color w:val="000000" w:themeColor="text1"/>
        </w:rPr>
        <w:t>Cet arrêt semble consacrer l’existence du vol d’informations, et ce même si la personne était autorisée à accéder aux documents ayant fait l’objet de la soustraction frauduleuse.</w:t>
      </w:r>
    </w:p>
    <w:p w14:paraId="6C1918D7" w14:textId="77777777"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rPr>
          <w:color w:val="000000" w:themeColor="text1"/>
        </w:rPr>
      </w:pPr>
    </w:p>
    <w:p w14:paraId="19DADCD4" w14:textId="77777777"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rPr>
          <w:rStyle w:val="lev"/>
          <w:color w:val="000000" w:themeColor="text1"/>
        </w:rPr>
      </w:pPr>
      <w:r w:rsidRPr="00557CDC">
        <w:rPr>
          <w:rStyle w:val="lev"/>
          <w:color w:val="000000" w:themeColor="text1"/>
        </w:rPr>
        <w:t>Mais une articulation avec l’article 323-3 du Code pénal est nécessaire.</w:t>
      </w:r>
    </w:p>
    <w:p w14:paraId="1C95E234" w14:textId="77777777"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pPr>
    </w:p>
    <w:p w14:paraId="3D139A77" w14:textId="2DC26EE6" w:rsidR="004E7FB3" w:rsidRPr="00557CDC" w:rsidRDefault="004E7FB3" w:rsidP="004E7FB3">
      <w:pPr>
        <w:pBdr>
          <w:top w:val="single" w:sz="4" w:space="1" w:color="auto"/>
          <w:left w:val="single" w:sz="4" w:space="4" w:color="auto"/>
          <w:bottom w:val="single" w:sz="4" w:space="1" w:color="auto"/>
          <w:right w:val="single" w:sz="4" w:space="4" w:color="auto"/>
        </w:pBdr>
        <w:spacing w:line="276" w:lineRule="auto"/>
        <w:jc w:val="both"/>
        <w:rPr>
          <w:b/>
          <w:bCs/>
          <w:color w:val="000000" w:themeColor="text1"/>
        </w:rPr>
      </w:pPr>
      <w:r w:rsidRPr="00557CDC">
        <w:rPr>
          <w:b/>
          <w:bCs/>
          <w:color w:val="000000" w:themeColor="text1"/>
        </w:rPr>
        <w:t>Les faits avaient été commis avant l’entrée en vigueur de la loi n°2014-1353 du 13 novembre 2014 réprimant l’extraction frauduleuse de données d’un système de traitement automatisé.</w:t>
      </w:r>
    </w:p>
    <w:p w14:paraId="63F12146" w14:textId="77777777" w:rsidR="007D17CA" w:rsidRPr="00557CDC" w:rsidRDefault="007D17CA" w:rsidP="007D17CA">
      <w:pPr>
        <w:spacing w:line="276" w:lineRule="auto"/>
        <w:jc w:val="both"/>
        <w:rPr>
          <w:color w:val="4472C4" w:themeColor="accent1"/>
        </w:rPr>
      </w:pPr>
    </w:p>
    <w:p w14:paraId="079B9C30" w14:textId="77777777" w:rsidR="007D17CA" w:rsidRPr="00557CDC" w:rsidRDefault="007D17CA" w:rsidP="007D17CA">
      <w:pPr>
        <w:spacing w:line="276" w:lineRule="auto"/>
        <w:jc w:val="both"/>
        <w:rPr>
          <w:color w:val="4472C4" w:themeColor="accent1"/>
        </w:rPr>
      </w:pPr>
    </w:p>
    <w:p w14:paraId="23F913C6" w14:textId="34965DDC" w:rsidR="004E7FB3" w:rsidRPr="00557CDC" w:rsidRDefault="004E7FB3" w:rsidP="007D17CA">
      <w:pPr>
        <w:spacing w:line="276" w:lineRule="auto"/>
        <w:jc w:val="both"/>
        <w:rPr>
          <w:color w:val="4472C4" w:themeColor="accent1"/>
        </w:rPr>
      </w:pPr>
      <w:r w:rsidRPr="00557CDC">
        <w:rPr>
          <w:color w:val="4472C4" w:themeColor="accent1"/>
        </w:rPr>
        <w:t xml:space="preserve">Questions </w:t>
      </w:r>
    </w:p>
    <w:p w14:paraId="25785D69" w14:textId="77777777" w:rsidR="004E7FB3" w:rsidRPr="00557CDC" w:rsidRDefault="004E7FB3" w:rsidP="007D17CA">
      <w:pPr>
        <w:spacing w:line="276" w:lineRule="auto"/>
        <w:jc w:val="both"/>
        <w:rPr>
          <w:rFonts w:cstheme="minorHAnsi"/>
          <w:color w:val="4472C4" w:themeColor="accent1"/>
        </w:rPr>
      </w:pPr>
    </w:p>
    <w:p w14:paraId="15A44DC1" w14:textId="77777777" w:rsidR="004E7FB3" w:rsidRPr="00557CDC" w:rsidRDefault="004E7FB3" w:rsidP="007D17CA">
      <w:pPr>
        <w:spacing w:line="276" w:lineRule="auto"/>
        <w:jc w:val="both"/>
        <w:rPr>
          <w:rFonts w:cstheme="minorHAnsi"/>
          <w:color w:val="4472C4" w:themeColor="accent1"/>
        </w:rPr>
      </w:pPr>
      <w:r w:rsidRPr="00557CDC">
        <w:rPr>
          <w:rFonts w:cstheme="minorHAnsi"/>
          <w:color w:val="4472C4" w:themeColor="accent1"/>
        </w:rPr>
        <w:t>1. Pourquoi les juges n’ont -ils pas appliqué l’article 323- 3 du code pénal ?</w:t>
      </w:r>
    </w:p>
    <w:p w14:paraId="5B4798F6" w14:textId="77777777" w:rsidR="004E7FB3" w:rsidRPr="00557CDC" w:rsidRDefault="004E7FB3" w:rsidP="007D17CA">
      <w:pPr>
        <w:spacing w:line="276" w:lineRule="auto"/>
        <w:jc w:val="both"/>
        <w:rPr>
          <w:rFonts w:cstheme="minorHAnsi"/>
          <w:color w:val="4472C4" w:themeColor="accent1"/>
        </w:rPr>
      </w:pPr>
    </w:p>
    <w:p w14:paraId="64C409E1" w14:textId="77777777" w:rsidR="004E7FB3" w:rsidRPr="00557CDC" w:rsidRDefault="004E7FB3" w:rsidP="007D17CA">
      <w:pPr>
        <w:spacing w:line="276" w:lineRule="auto"/>
        <w:jc w:val="both"/>
        <w:rPr>
          <w:rFonts w:cstheme="minorHAnsi"/>
          <w:color w:val="4472C4" w:themeColor="accent1"/>
        </w:rPr>
      </w:pPr>
      <w:r w:rsidRPr="00557CDC">
        <w:rPr>
          <w:rFonts w:cstheme="minorHAnsi"/>
          <w:color w:val="4472C4" w:themeColor="accent1"/>
        </w:rPr>
        <w:t>2. En quoi l’article 323- 3 du code pénal met-il un terme à l’insécurité juridique du concept de vol de données relevée dans un document précédent ?</w:t>
      </w:r>
    </w:p>
    <w:p w14:paraId="6E704C53" w14:textId="77777777" w:rsidR="00EE0A9A" w:rsidRPr="00557CDC" w:rsidRDefault="00EE0A9A" w:rsidP="004E7FB3"/>
    <w:p w14:paraId="6AF0DE07" w14:textId="77777777" w:rsidR="007D17CA" w:rsidRPr="00557CDC" w:rsidRDefault="007D17CA" w:rsidP="004E7FB3"/>
    <w:p w14:paraId="1BB0D7D3" w14:textId="658F53CD" w:rsidR="004E7FB3" w:rsidRPr="00557CDC" w:rsidRDefault="004E7FB3" w:rsidP="004E7FB3">
      <w:pPr>
        <w:pBdr>
          <w:top w:val="single" w:sz="4" w:space="1" w:color="auto"/>
          <w:left w:val="single" w:sz="4" w:space="4" w:color="auto"/>
          <w:bottom w:val="single" w:sz="4" w:space="1" w:color="auto"/>
          <w:right w:val="single" w:sz="4" w:space="4" w:color="auto"/>
        </w:pBdr>
        <w:jc w:val="both"/>
      </w:pPr>
      <w:r w:rsidRPr="00557CDC">
        <w:t xml:space="preserve">Document </w:t>
      </w:r>
      <w:r w:rsidR="00EE0A9A">
        <w:t>6</w:t>
      </w:r>
      <w:r w:rsidRPr="00557CDC">
        <w:t> : Condamnation pour collecte et extraction frauduleuse de données</w:t>
      </w:r>
    </w:p>
    <w:p w14:paraId="6A546B54" w14:textId="77777777" w:rsidR="004E7FB3" w:rsidRPr="00557CDC" w:rsidRDefault="004E7FB3" w:rsidP="004E7FB3">
      <w:pPr>
        <w:pBdr>
          <w:top w:val="single" w:sz="4" w:space="1" w:color="auto"/>
          <w:left w:val="single" w:sz="4" w:space="4" w:color="auto"/>
          <w:bottom w:val="single" w:sz="4" w:space="1" w:color="auto"/>
          <w:right w:val="single" w:sz="4" w:space="4" w:color="auto"/>
        </w:pBdr>
        <w:jc w:val="both"/>
      </w:pPr>
    </w:p>
    <w:p w14:paraId="43A65FC4" w14:textId="77777777" w:rsidR="004E7FB3" w:rsidRPr="00557CDC" w:rsidRDefault="00000000" w:rsidP="004E7FB3">
      <w:pPr>
        <w:pBdr>
          <w:top w:val="single" w:sz="4" w:space="1" w:color="auto"/>
          <w:left w:val="single" w:sz="4" w:space="4" w:color="auto"/>
          <w:bottom w:val="single" w:sz="4" w:space="1" w:color="auto"/>
          <w:right w:val="single" w:sz="4" w:space="4" w:color="auto"/>
        </w:pBdr>
        <w:jc w:val="both"/>
      </w:pPr>
      <w:hyperlink r:id="rId14" w:history="1">
        <w:r w:rsidR="004E7FB3" w:rsidRPr="00557CDC">
          <w:rPr>
            <w:rStyle w:val="Lienhypertexte"/>
          </w:rPr>
          <w:t>https://www.legalis.net/actualite/condamnation-pour-collecte-et-extraction-frauduleuse-de-donnees/</w:t>
        </w:r>
      </w:hyperlink>
    </w:p>
    <w:p w14:paraId="60B4AB68" w14:textId="77777777" w:rsidR="004E7FB3" w:rsidRPr="00557CDC" w:rsidRDefault="004E7FB3" w:rsidP="004E7FB3">
      <w:pPr>
        <w:pBdr>
          <w:top w:val="single" w:sz="4" w:space="1" w:color="auto"/>
          <w:left w:val="single" w:sz="4" w:space="4" w:color="auto"/>
          <w:bottom w:val="single" w:sz="4" w:space="1" w:color="auto"/>
          <w:right w:val="single" w:sz="4" w:space="4" w:color="auto"/>
        </w:pBdr>
        <w:jc w:val="both"/>
      </w:pPr>
    </w:p>
    <w:p w14:paraId="0E20A062" w14:textId="77777777" w:rsidR="004E7FB3" w:rsidRPr="00557CDC" w:rsidRDefault="004E7FB3" w:rsidP="004E7FB3">
      <w:pPr>
        <w:pBdr>
          <w:top w:val="single" w:sz="4" w:space="1" w:color="auto"/>
          <w:left w:val="single" w:sz="4" w:space="4" w:color="auto"/>
          <w:bottom w:val="single" w:sz="4" w:space="1" w:color="auto"/>
          <w:right w:val="single" w:sz="4" w:space="4" w:color="auto"/>
        </w:pBdr>
        <w:jc w:val="both"/>
      </w:pPr>
      <w:r w:rsidRPr="00557CDC">
        <w:t xml:space="preserve">Dans un </w:t>
      </w:r>
      <w:hyperlink r:id="rId15" w:history="1">
        <w:r w:rsidRPr="00557CDC">
          <w:rPr>
            <w:rStyle w:val="Lienhypertexte"/>
          </w:rPr>
          <w:t>arrêt</w:t>
        </w:r>
      </w:hyperlink>
      <w:r w:rsidRPr="00557CDC">
        <w:t xml:space="preserve"> du 15 septembre 2017 de la cour d’appel de Paris, « l</w:t>
      </w:r>
      <w:r w:rsidRPr="00557CDC">
        <w:rPr>
          <w:highlight w:val="yellow"/>
        </w:rPr>
        <w:t>es juges ont ainsi fait application de l’infraction de collecte déloyale de données à caractère personnel mais aussi de l’article 323-3 modifié par la loi du 13 novembre 2014. Elle avait ajouté l’extraction frauduleuse au délit d’introduction frauduleux dans un système de traitement automatisé</w:t>
      </w:r>
      <w:r w:rsidRPr="00557CDC">
        <w:t xml:space="preserve">. Le prévenu a été condamné à 1 000 € d’amende avec sursis et il doit en outre verser à </w:t>
      </w:r>
      <w:proofErr w:type="spellStart"/>
      <w:r w:rsidRPr="00557CDC">
        <w:t>Weezevent</w:t>
      </w:r>
      <w:proofErr w:type="spellEnd"/>
      <w:r w:rsidRPr="00557CDC">
        <w:t xml:space="preserve"> 40 000 € de dommages-intérêts. »</w:t>
      </w:r>
    </w:p>
    <w:p w14:paraId="50CE65EA" w14:textId="77777777" w:rsidR="00EE0A9A" w:rsidRPr="00557CDC" w:rsidRDefault="00EE0A9A" w:rsidP="004E7FB3">
      <w:pPr>
        <w:pBdr>
          <w:top w:val="single" w:sz="4" w:space="1" w:color="auto"/>
          <w:left w:val="single" w:sz="4" w:space="4" w:color="auto"/>
          <w:bottom w:val="single" w:sz="4" w:space="1" w:color="auto"/>
          <w:right w:val="single" w:sz="4" w:space="4" w:color="auto"/>
        </w:pBdr>
        <w:jc w:val="both"/>
      </w:pPr>
    </w:p>
    <w:p w14:paraId="462C02CA" w14:textId="77777777" w:rsidR="00EE0A9A" w:rsidRDefault="00EE0A9A" w:rsidP="00EE0A9A">
      <w:pPr>
        <w:jc w:val="both"/>
        <w:rPr>
          <w:b/>
          <w:bCs/>
          <w:color w:val="4472C4" w:themeColor="accent1"/>
        </w:rPr>
      </w:pPr>
    </w:p>
    <w:p w14:paraId="4E8CCD34" w14:textId="46A18D41" w:rsidR="00A92964" w:rsidRPr="00EE0A9A" w:rsidRDefault="004E7FB3" w:rsidP="00EE0A9A">
      <w:pPr>
        <w:jc w:val="both"/>
        <w:rPr>
          <w:b/>
          <w:bCs/>
          <w:color w:val="4472C4" w:themeColor="accent1"/>
        </w:rPr>
      </w:pPr>
      <w:r w:rsidRPr="00557CDC">
        <w:rPr>
          <w:b/>
          <w:bCs/>
          <w:color w:val="4472C4" w:themeColor="accent1"/>
        </w:rPr>
        <w:t>Question :Les juges ont-ils dans cet arrêt fait mention d’un vol de données. De quelle infraction le prévenu s’est-il rendu coupable ?</w:t>
      </w:r>
    </w:p>
    <w:sectPr w:rsidR="00A92964" w:rsidRPr="00EE0A9A" w:rsidSect="005C6737">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0E46" w14:textId="77777777" w:rsidR="000B1CA4" w:rsidRDefault="000B1CA4" w:rsidP="00557CDC">
      <w:r>
        <w:separator/>
      </w:r>
    </w:p>
  </w:endnote>
  <w:endnote w:type="continuationSeparator" w:id="0">
    <w:p w14:paraId="59EB6BB2" w14:textId="77777777" w:rsidR="000B1CA4" w:rsidRDefault="000B1CA4" w:rsidP="0055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46865786"/>
      <w:docPartObj>
        <w:docPartGallery w:val="Page Numbers (Bottom of Page)"/>
        <w:docPartUnique/>
      </w:docPartObj>
    </w:sdtPr>
    <w:sdtContent>
      <w:p w14:paraId="607C9B7D" w14:textId="0CB2A8C0" w:rsidR="00557CDC" w:rsidRDefault="00557CDC" w:rsidP="007D747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71093F" w14:textId="77777777" w:rsidR="00557CDC" w:rsidRDefault="00557CDC" w:rsidP="00557CD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24790084"/>
      <w:docPartObj>
        <w:docPartGallery w:val="Page Numbers (Bottom of Page)"/>
        <w:docPartUnique/>
      </w:docPartObj>
    </w:sdtPr>
    <w:sdtContent>
      <w:p w14:paraId="641F6ABD" w14:textId="14C6E0D0" w:rsidR="00557CDC" w:rsidRDefault="00557CDC" w:rsidP="007D747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C2009A9" w14:textId="77777777" w:rsidR="00557CDC" w:rsidRDefault="00557CDC" w:rsidP="00557CD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E144" w14:textId="77777777" w:rsidR="000B1CA4" w:rsidRDefault="000B1CA4" w:rsidP="00557CDC">
      <w:r>
        <w:separator/>
      </w:r>
    </w:p>
  </w:footnote>
  <w:footnote w:type="continuationSeparator" w:id="0">
    <w:p w14:paraId="73B74B3B" w14:textId="77777777" w:rsidR="000B1CA4" w:rsidRDefault="000B1CA4" w:rsidP="00557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7371B"/>
    <w:multiLevelType w:val="hybridMultilevel"/>
    <w:tmpl w:val="A378DE8C"/>
    <w:lvl w:ilvl="0" w:tplc="AF1C6E7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2545B7"/>
    <w:multiLevelType w:val="hybridMultilevel"/>
    <w:tmpl w:val="A196959E"/>
    <w:lvl w:ilvl="0" w:tplc="36AA6F7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2846052">
    <w:abstractNumId w:val="0"/>
  </w:num>
  <w:num w:numId="2" w16cid:durableId="901911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B3"/>
    <w:rsid w:val="00097286"/>
    <w:rsid w:val="00097AF6"/>
    <w:rsid w:val="000B1CA4"/>
    <w:rsid w:val="00353EA2"/>
    <w:rsid w:val="003C287C"/>
    <w:rsid w:val="004E7FB3"/>
    <w:rsid w:val="0055074D"/>
    <w:rsid w:val="00557CDC"/>
    <w:rsid w:val="005C6737"/>
    <w:rsid w:val="007A4134"/>
    <w:rsid w:val="007B1C5C"/>
    <w:rsid w:val="007D17CA"/>
    <w:rsid w:val="00865A02"/>
    <w:rsid w:val="0087737C"/>
    <w:rsid w:val="00AD4108"/>
    <w:rsid w:val="00AF5779"/>
    <w:rsid w:val="00B87516"/>
    <w:rsid w:val="00BC2D4F"/>
    <w:rsid w:val="00C61815"/>
    <w:rsid w:val="00DB6F58"/>
    <w:rsid w:val="00EE0A9A"/>
    <w:rsid w:val="00F13435"/>
    <w:rsid w:val="00F86A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006AF4"/>
  <w14:defaultImageDpi w14:val="32767"/>
  <w15:chartTrackingRefBased/>
  <w15:docId w15:val="{8FF8109D-042E-C84A-91F9-66502497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7FB3"/>
  </w:style>
  <w:style w:type="paragraph" w:styleId="Titre1">
    <w:name w:val="heading 1"/>
    <w:basedOn w:val="Normal"/>
    <w:next w:val="Normal"/>
    <w:link w:val="Titre1Car"/>
    <w:uiPriority w:val="9"/>
    <w:qFormat/>
    <w:rsid w:val="00353E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E7F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E7FB3"/>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4E7FB3"/>
    <w:rPr>
      <w:color w:val="0563C1" w:themeColor="hyperlink"/>
      <w:u w:val="single"/>
    </w:rPr>
  </w:style>
  <w:style w:type="paragraph" w:styleId="NormalWeb">
    <w:name w:val="Normal (Web)"/>
    <w:basedOn w:val="Normal"/>
    <w:uiPriority w:val="99"/>
    <w:unhideWhenUsed/>
    <w:rsid w:val="004E7FB3"/>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4E7FB3"/>
    <w:rPr>
      <w:i/>
      <w:iCs/>
    </w:rPr>
  </w:style>
  <w:style w:type="character" w:styleId="lev">
    <w:name w:val="Strong"/>
    <w:basedOn w:val="Policepardfaut"/>
    <w:uiPriority w:val="22"/>
    <w:qFormat/>
    <w:rsid w:val="004E7FB3"/>
    <w:rPr>
      <w:b/>
      <w:bCs/>
    </w:rPr>
  </w:style>
  <w:style w:type="character" w:customStyle="1" w:styleId="Titre1Car">
    <w:name w:val="Titre 1 Car"/>
    <w:basedOn w:val="Policepardfaut"/>
    <w:link w:val="Titre1"/>
    <w:uiPriority w:val="9"/>
    <w:rsid w:val="00353EA2"/>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353EA2"/>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353EA2"/>
    <w:pPr>
      <w:spacing w:before="120"/>
    </w:pPr>
    <w:rPr>
      <w:rFonts w:cstheme="minorHAnsi"/>
      <w:b/>
      <w:bCs/>
      <w:i/>
      <w:iCs/>
    </w:rPr>
  </w:style>
  <w:style w:type="paragraph" w:styleId="TM2">
    <w:name w:val="toc 2"/>
    <w:basedOn w:val="Normal"/>
    <w:next w:val="Normal"/>
    <w:autoRedefine/>
    <w:uiPriority w:val="39"/>
    <w:semiHidden/>
    <w:unhideWhenUsed/>
    <w:rsid w:val="00353EA2"/>
    <w:pPr>
      <w:spacing w:before="120"/>
      <w:ind w:left="240"/>
    </w:pPr>
    <w:rPr>
      <w:rFonts w:cstheme="minorHAnsi"/>
      <w:b/>
      <w:bCs/>
      <w:sz w:val="22"/>
      <w:szCs w:val="22"/>
    </w:rPr>
  </w:style>
  <w:style w:type="paragraph" w:styleId="TM3">
    <w:name w:val="toc 3"/>
    <w:basedOn w:val="Normal"/>
    <w:next w:val="Normal"/>
    <w:autoRedefine/>
    <w:uiPriority w:val="39"/>
    <w:semiHidden/>
    <w:unhideWhenUsed/>
    <w:rsid w:val="00353EA2"/>
    <w:pPr>
      <w:ind w:left="480"/>
    </w:pPr>
    <w:rPr>
      <w:rFonts w:cstheme="minorHAnsi"/>
      <w:sz w:val="20"/>
      <w:szCs w:val="20"/>
    </w:rPr>
  </w:style>
  <w:style w:type="paragraph" w:styleId="TM4">
    <w:name w:val="toc 4"/>
    <w:basedOn w:val="Normal"/>
    <w:next w:val="Normal"/>
    <w:autoRedefine/>
    <w:uiPriority w:val="39"/>
    <w:semiHidden/>
    <w:unhideWhenUsed/>
    <w:rsid w:val="00353EA2"/>
    <w:pPr>
      <w:ind w:left="720"/>
    </w:pPr>
    <w:rPr>
      <w:rFonts w:cstheme="minorHAnsi"/>
      <w:sz w:val="20"/>
      <w:szCs w:val="20"/>
    </w:rPr>
  </w:style>
  <w:style w:type="paragraph" w:styleId="TM5">
    <w:name w:val="toc 5"/>
    <w:basedOn w:val="Normal"/>
    <w:next w:val="Normal"/>
    <w:autoRedefine/>
    <w:uiPriority w:val="39"/>
    <w:semiHidden/>
    <w:unhideWhenUsed/>
    <w:rsid w:val="00353EA2"/>
    <w:pPr>
      <w:ind w:left="960"/>
    </w:pPr>
    <w:rPr>
      <w:rFonts w:cstheme="minorHAnsi"/>
      <w:sz w:val="20"/>
      <w:szCs w:val="20"/>
    </w:rPr>
  </w:style>
  <w:style w:type="paragraph" w:styleId="TM6">
    <w:name w:val="toc 6"/>
    <w:basedOn w:val="Normal"/>
    <w:next w:val="Normal"/>
    <w:autoRedefine/>
    <w:uiPriority w:val="39"/>
    <w:semiHidden/>
    <w:unhideWhenUsed/>
    <w:rsid w:val="00353EA2"/>
    <w:pPr>
      <w:ind w:left="1200"/>
    </w:pPr>
    <w:rPr>
      <w:rFonts w:cstheme="minorHAnsi"/>
      <w:sz w:val="20"/>
      <w:szCs w:val="20"/>
    </w:rPr>
  </w:style>
  <w:style w:type="paragraph" w:styleId="TM7">
    <w:name w:val="toc 7"/>
    <w:basedOn w:val="Normal"/>
    <w:next w:val="Normal"/>
    <w:autoRedefine/>
    <w:uiPriority w:val="39"/>
    <w:semiHidden/>
    <w:unhideWhenUsed/>
    <w:rsid w:val="00353EA2"/>
    <w:pPr>
      <w:ind w:left="1440"/>
    </w:pPr>
    <w:rPr>
      <w:rFonts w:cstheme="minorHAnsi"/>
      <w:sz w:val="20"/>
      <w:szCs w:val="20"/>
    </w:rPr>
  </w:style>
  <w:style w:type="paragraph" w:styleId="TM8">
    <w:name w:val="toc 8"/>
    <w:basedOn w:val="Normal"/>
    <w:next w:val="Normal"/>
    <w:autoRedefine/>
    <w:uiPriority w:val="39"/>
    <w:semiHidden/>
    <w:unhideWhenUsed/>
    <w:rsid w:val="00353EA2"/>
    <w:pPr>
      <w:ind w:left="1680"/>
    </w:pPr>
    <w:rPr>
      <w:rFonts w:cstheme="minorHAnsi"/>
      <w:sz w:val="20"/>
      <w:szCs w:val="20"/>
    </w:rPr>
  </w:style>
  <w:style w:type="paragraph" w:styleId="TM9">
    <w:name w:val="toc 9"/>
    <w:basedOn w:val="Normal"/>
    <w:next w:val="Normal"/>
    <w:autoRedefine/>
    <w:uiPriority w:val="39"/>
    <w:semiHidden/>
    <w:unhideWhenUsed/>
    <w:rsid w:val="00353EA2"/>
    <w:pPr>
      <w:ind w:left="1920"/>
    </w:pPr>
    <w:rPr>
      <w:rFonts w:cstheme="minorHAnsi"/>
      <w:sz w:val="20"/>
      <w:szCs w:val="20"/>
    </w:rPr>
  </w:style>
  <w:style w:type="paragraph" w:styleId="Pieddepage">
    <w:name w:val="footer"/>
    <w:basedOn w:val="Normal"/>
    <w:link w:val="PieddepageCar"/>
    <w:uiPriority w:val="99"/>
    <w:unhideWhenUsed/>
    <w:rsid w:val="00557CDC"/>
    <w:pPr>
      <w:tabs>
        <w:tab w:val="center" w:pos="4536"/>
        <w:tab w:val="right" w:pos="9072"/>
      </w:tabs>
    </w:pPr>
  </w:style>
  <w:style w:type="character" w:customStyle="1" w:styleId="PieddepageCar">
    <w:name w:val="Pied de page Car"/>
    <w:basedOn w:val="Policepardfaut"/>
    <w:link w:val="Pieddepage"/>
    <w:uiPriority w:val="99"/>
    <w:rsid w:val="00557CDC"/>
  </w:style>
  <w:style w:type="character" w:styleId="Numrodepage">
    <w:name w:val="page number"/>
    <w:basedOn w:val="Policepardfaut"/>
    <w:uiPriority w:val="99"/>
    <w:semiHidden/>
    <w:unhideWhenUsed/>
    <w:rsid w:val="00557CDC"/>
  </w:style>
  <w:style w:type="paragraph" w:styleId="Paragraphedeliste">
    <w:name w:val="List Paragraph"/>
    <w:basedOn w:val="Normal"/>
    <w:uiPriority w:val="34"/>
    <w:qFormat/>
    <w:rsid w:val="00B8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uri/id/JURITEXT000007070782/" TargetMode="External"/><Relationship Id="rId13" Type="http://schemas.openxmlformats.org/officeDocument/2006/relationships/hyperlink" Target="https://www.dalloz-actualite.fr/sites/dalloz-actualite.fr/files/resources/2017/07/fl1207vt168111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irn.info/revue-de-science-criminelle-et-de-droit-penal-compare-2015-4-page-857.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n.info/revue-de-science-criminelle-et-de-droit-penal-compare-2015-4-page-857.htm" TargetMode="External"/><Relationship Id="rId5" Type="http://schemas.openxmlformats.org/officeDocument/2006/relationships/webSettings" Target="webSettings.xml"/><Relationship Id="rId15" Type="http://schemas.openxmlformats.org/officeDocument/2006/relationships/hyperlink" Target="https://www.legalis.net/jurisprudences/cour-dappel-de-paris-pole-4-ch-11-arret-du-15-septembre-2017/" TargetMode="External"/><Relationship Id="rId10" Type="http://schemas.openxmlformats.org/officeDocument/2006/relationships/hyperlink" Target="https://www.lepetitjuriste.fr/laffaire-bluetouff-condamne-pour-vol-de-donnees-librement-accessib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juri/id/JURITEXT000030635061/" TargetMode="External"/><Relationship Id="rId14" Type="http://schemas.openxmlformats.org/officeDocument/2006/relationships/hyperlink" Target="https://www.legalis.net/actualite/condamnation-pour-collecte-et-extraction-frauduleuse-de-donne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4714D-926A-8849-8473-22401252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2386</Words>
  <Characters>13128</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5</cp:revision>
  <dcterms:created xsi:type="dcterms:W3CDTF">2023-01-13T07:30:00Z</dcterms:created>
  <dcterms:modified xsi:type="dcterms:W3CDTF">2023-01-14T06:06:00Z</dcterms:modified>
</cp:coreProperties>
</file>