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9E1DE" w14:textId="5B37C448" w:rsidR="00BF1966" w:rsidRPr="00AA1178" w:rsidRDefault="00BF1966" w:rsidP="00AA1178">
      <w:pPr>
        <w:shd w:val="clear" w:color="auto" w:fill="F4B083" w:themeFill="accent2" w:themeFillTint="99"/>
        <w:jc w:val="center"/>
        <w:rPr>
          <w:sz w:val="44"/>
          <w:szCs w:val="44"/>
          <w:lang w:eastAsia="fr-FR"/>
        </w:rPr>
      </w:pPr>
      <w:r w:rsidRPr="00AA1178">
        <w:rPr>
          <w:sz w:val="44"/>
          <w:szCs w:val="44"/>
          <w:lang w:eastAsia="fr-FR"/>
        </w:rPr>
        <w:t>Faut-il inscrire le droit à l’avortement dans la constitution française ?</w:t>
      </w:r>
    </w:p>
    <w:p w14:paraId="0571E8B5" w14:textId="7DF92677" w:rsidR="00AA1178" w:rsidRDefault="00AA1178" w:rsidP="00AA1178">
      <w:pPr>
        <w:rPr>
          <w:lang w:eastAsia="fr-FR"/>
        </w:rPr>
      </w:pPr>
    </w:p>
    <w:p w14:paraId="5A45A4B5" w14:textId="45020E75" w:rsidR="00AA1178" w:rsidRDefault="00AA1178" w:rsidP="00AA1178">
      <w:pPr>
        <w:rPr>
          <w:lang w:eastAsia="fr-FR"/>
        </w:rPr>
      </w:pPr>
    </w:p>
    <w:p w14:paraId="55C5E8C3" w14:textId="77777777" w:rsidR="00927A9C" w:rsidRDefault="00927A9C" w:rsidP="00927A9C">
      <w:pPr>
        <w:jc w:val="center"/>
        <w:rPr>
          <w:highlight w:val="yellow"/>
          <w:lang w:eastAsia="fr-FR"/>
        </w:rPr>
      </w:pPr>
    </w:p>
    <w:p w14:paraId="7AF16FF3" w14:textId="16CF5B1F" w:rsidR="007238F3" w:rsidRDefault="007238F3" w:rsidP="00927A9C">
      <w:pPr>
        <w:jc w:val="center"/>
        <w:rPr>
          <w:lang w:eastAsia="fr-FR"/>
        </w:rPr>
      </w:pPr>
      <w:r w:rsidRPr="00143539">
        <w:rPr>
          <w:highlight w:val="yellow"/>
          <w:lang w:eastAsia="fr-FR"/>
        </w:rPr>
        <w:t xml:space="preserve">Version </w:t>
      </w:r>
      <w:proofErr w:type="spellStart"/>
      <w:r w:rsidR="00143539" w:rsidRPr="00143539">
        <w:rPr>
          <w:highlight w:val="yellow"/>
          <w:lang w:eastAsia="fr-FR"/>
        </w:rPr>
        <w:t>Elèves</w:t>
      </w:r>
      <w:proofErr w:type="spellEnd"/>
    </w:p>
    <w:p w14:paraId="45872E38" w14:textId="1F0AF77B" w:rsidR="00927A9C" w:rsidRDefault="00927A9C" w:rsidP="00927A9C">
      <w:pPr>
        <w:jc w:val="center"/>
        <w:rPr>
          <w:lang w:eastAsia="fr-FR"/>
        </w:rPr>
      </w:pPr>
    </w:p>
    <w:p w14:paraId="4DE4EE95" w14:textId="77777777" w:rsidR="00927A9C" w:rsidRPr="00927A9C" w:rsidRDefault="00927A9C" w:rsidP="005A285E">
      <w:pPr>
        <w:rPr>
          <w:lang w:eastAsia="fr-FR"/>
        </w:rPr>
      </w:pPr>
    </w:p>
    <w:p w14:paraId="3AE99814" w14:textId="77777777" w:rsidR="00927A9C" w:rsidRDefault="00927A9C" w:rsidP="00927A9C">
      <w:pPr>
        <w:jc w:val="center"/>
        <w:rPr>
          <w:lang w:eastAsia="fr-FR"/>
        </w:rPr>
      </w:pPr>
    </w:p>
    <w:p w14:paraId="5D521C4A" w14:textId="77777777" w:rsidR="00927A9C" w:rsidRPr="00927A9C" w:rsidRDefault="00927A9C" w:rsidP="000C6BB4">
      <w:pPr>
        <w:rPr>
          <w:rStyle w:val="Lienhypertexte"/>
          <w:rFonts w:eastAsia="Times New Roman" w:cstheme="minorHAnsi"/>
          <w:b/>
          <w:bCs/>
          <w:color w:val="002060"/>
          <w:kern w:val="36"/>
          <w:sz w:val="28"/>
          <w:szCs w:val="28"/>
          <w:u w:val="none"/>
          <w:lang w:eastAsia="fr-FR"/>
        </w:rPr>
      </w:pPr>
    </w:p>
    <w:p w14:paraId="440EDE05" w14:textId="77777777" w:rsidR="00292289" w:rsidRDefault="00292289" w:rsidP="000C6BB4">
      <w:pPr>
        <w:rPr>
          <w:rStyle w:val="Lienhypertexte"/>
          <w:rFonts w:ascii="Times New Roman" w:eastAsia="Times New Roman" w:hAnsi="Times New Roman" w:cs="Times New Roman"/>
          <w:b/>
          <w:bCs/>
          <w:color w:val="002060"/>
          <w:kern w:val="36"/>
          <w:sz w:val="20"/>
          <w:szCs w:val="20"/>
          <w:u w:val="none"/>
          <w:lang w:eastAsia="fr-FR"/>
        </w:rPr>
      </w:pPr>
    </w:p>
    <w:sdt>
      <w:sdtPr>
        <w:rPr>
          <w:rFonts w:asciiTheme="minorHAnsi" w:eastAsiaTheme="minorHAnsi" w:hAnsiTheme="minorHAnsi" w:cstheme="minorBidi"/>
          <w:b w:val="0"/>
          <w:bCs w:val="0"/>
          <w:color w:val="0563C1" w:themeColor="hyperlink"/>
          <w:sz w:val="24"/>
          <w:szCs w:val="24"/>
          <w:u w:val="single"/>
          <w:lang w:eastAsia="en-US"/>
        </w:rPr>
        <w:id w:val="-1608878251"/>
        <w:docPartObj>
          <w:docPartGallery w:val="Table of Contents"/>
          <w:docPartUnique/>
        </w:docPartObj>
      </w:sdtPr>
      <w:sdtEndPr>
        <w:rPr>
          <w:noProof/>
          <w:color w:val="auto"/>
          <w:u w:val="none"/>
        </w:rPr>
      </w:sdtEndPr>
      <w:sdtContent>
        <w:p w14:paraId="3A0F6FB1" w14:textId="233C0162" w:rsidR="00AA1178" w:rsidRDefault="00AA1178">
          <w:pPr>
            <w:pStyle w:val="En-ttedetabledesmatires"/>
          </w:pPr>
          <w:r>
            <w:t>Table des matières</w:t>
          </w:r>
        </w:p>
        <w:p w14:paraId="017EDB9E" w14:textId="1AD3BB24" w:rsidR="00143539" w:rsidRDefault="00AA1178">
          <w:pPr>
            <w:pStyle w:val="TM1"/>
            <w:tabs>
              <w:tab w:val="right" w:leader="dot" w:pos="9056"/>
            </w:tabs>
            <w:rPr>
              <w:rFonts w:eastAsiaTheme="minorEastAsia" w:cstheme="minorBidi"/>
              <w:b w:val="0"/>
              <w:bCs w:val="0"/>
              <w:i w:val="0"/>
              <w:iCs w:val="0"/>
              <w:noProof/>
              <w:lang w:eastAsia="fr-FR"/>
            </w:rPr>
          </w:pPr>
          <w:r>
            <w:rPr>
              <w:b w:val="0"/>
              <w:bCs w:val="0"/>
            </w:rPr>
            <w:fldChar w:fldCharType="begin"/>
          </w:r>
          <w:r>
            <w:instrText>TOC \o "1-3" \h \z \u</w:instrText>
          </w:r>
          <w:r>
            <w:rPr>
              <w:b w:val="0"/>
              <w:bCs w:val="0"/>
            </w:rPr>
            <w:fldChar w:fldCharType="separate"/>
          </w:r>
          <w:hyperlink w:anchor="_Toc115498517" w:history="1">
            <w:r w:rsidR="00143539" w:rsidRPr="00A95643">
              <w:rPr>
                <w:rStyle w:val="Lienhypertexte"/>
                <w:noProof/>
                <w:highlight w:val="yellow"/>
              </w:rPr>
              <w:t>Introduction</w:t>
            </w:r>
            <w:r w:rsidR="00143539">
              <w:rPr>
                <w:noProof/>
                <w:webHidden/>
              </w:rPr>
              <w:tab/>
            </w:r>
            <w:r w:rsidR="00143539">
              <w:rPr>
                <w:noProof/>
                <w:webHidden/>
              </w:rPr>
              <w:fldChar w:fldCharType="begin"/>
            </w:r>
            <w:r w:rsidR="00143539">
              <w:rPr>
                <w:noProof/>
                <w:webHidden/>
              </w:rPr>
              <w:instrText xml:space="preserve"> PAGEREF _Toc115498517 \h </w:instrText>
            </w:r>
            <w:r w:rsidR="00143539">
              <w:rPr>
                <w:noProof/>
                <w:webHidden/>
              </w:rPr>
            </w:r>
            <w:r w:rsidR="00143539">
              <w:rPr>
                <w:noProof/>
                <w:webHidden/>
              </w:rPr>
              <w:fldChar w:fldCharType="separate"/>
            </w:r>
            <w:r w:rsidR="00143539">
              <w:rPr>
                <w:noProof/>
                <w:webHidden/>
              </w:rPr>
              <w:t>1</w:t>
            </w:r>
            <w:r w:rsidR="00143539">
              <w:rPr>
                <w:noProof/>
                <w:webHidden/>
              </w:rPr>
              <w:fldChar w:fldCharType="end"/>
            </w:r>
          </w:hyperlink>
        </w:p>
        <w:p w14:paraId="7ABBF1D2" w14:textId="79942B31" w:rsidR="00143539" w:rsidRDefault="00000000">
          <w:pPr>
            <w:pStyle w:val="TM1"/>
            <w:tabs>
              <w:tab w:val="right" w:leader="dot" w:pos="9056"/>
            </w:tabs>
            <w:rPr>
              <w:rFonts w:eastAsiaTheme="minorEastAsia" w:cstheme="minorBidi"/>
              <w:b w:val="0"/>
              <w:bCs w:val="0"/>
              <w:i w:val="0"/>
              <w:iCs w:val="0"/>
              <w:noProof/>
              <w:lang w:eastAsia="fr-FR"/>
            </w:rPr>
          </w:pPr>
          <w:hyperlink w:anchor="_Toc115498518" w:history="1">
            <w:r w:rsidR="00143539" w:rsidRPr="00A95643">
              <w:rPr>
                <w:rStyle w:val="Lienhypertexte"/>
                <w:noProof/>
                <w:highlight w:val="yellow"/>
              </w:rPr>
              <w:t>Étape 1 : La décision de la cour suprême des Etats-Unis</w:t>
            </w:r>
            <w:r w:rsidR="00143539">
              <w:rPr>
                <w:noProof/>
                <w:webHidden/>
              </w:rPr>
              <w:tab/>
            </w:r>
            <w:r w:rsidR="00143539">
              <w:rPr>
                <w:noProof/>
                <w:webHidden/>
              </w:rPr>
              <w:fldChar w:fldCharType="begin"/>
            </w:r>
            <w:r w:rsidR="00143539">
              <w:rPr>
                <w:noProof/>
                <w:webHidden/>
              </w:rPr>
              <w:instrText xml:space="preserve"> PAGEREF _Toc115498518 \h </w:instrText>
            </w:r>
            <w:r w:rsidR="00143539">
              <w:rPr>
                <w:noProof/>
                <w:webHidden/>
              </w:rPr>
            </w:r>
            <w:r w:rsidR="00143539">
              <w:rPr>
                <w:noProof/>
                <w:webHidden/>
              </w:rPr>
              <w:fldChar w:fldCharType="separate"/>
            </w:r>
            <w:r w:rsidR="00143539">
              <w:rPr>
                <w:noProof/>
                <w:webHidden/>
              </w:rPr>
              <w:t>1</w:t>
            </w:r>
            <w:r w:rsidR="00143539">
              <w:rPr>
                <w:noProof/>
                <w:webHidden/>
              </w:rPr>
              <w:fldChar w:fldCharType="end"/>
            </w:r>
          </w:hyperlink>
        </w:p>
        <w:p w14:paraId="1738F2B0" w14:textId="4D469C48" w:rsidR="00143539" w:rsidRDefault="00000000">
          <w:pPr>
            <w:pStyle w:val="TM1"/>
            <w:tabs>
              <w:tab w:val="right" w:leader="dot" w:pos="9056"/>
            </w:tabs>
            <w:rPr>
              <w:rFonts w:eastAsiaTheme="minorEastAsia" w:cstheme="minorBidi"/>
              <w:b w:val="0"/>
              <w:bCs w:val="0"/>
              <w:i w:val="0"/>
              <w:iCs w:val="0"/>
              <w:noProof/>
              <w:lang w:eastAsia="fr-FR"/>
            </w:rPr>
          </w:pPr>
          <w:hyperlink w:anchor="_Toc115498519" w:history="1">
            <w:r w:rsidR="00143539" w:rsidRPr="00A95643">
              <w:rPr>
                <w:rStyle w:val="Lienhypertexte"/>
                <w:noProof/>
                <w:highlight w:val="yellow"/>
              </w:rPr>
              <w:t>Étape 2 : Les propositions de loi</w:t>
            </w:r>
            <w:r w:rsidR="00143539">
              <w:rPr>
                <w:noProof/>
                <w:webHidden/>
              </w:rPr>
              <w:tab/>
            </w:r>
            <w:r w:rsidR="00143539">
              <w:rPr>
                <w:noProof/>
                <w:webHidden/>
              </w:rPr>
              <w:fldChar w:fldCharType="begin"/>
            </w:r>
            <w:r w:rsidR="00143539">
              <w:rPr>
                <w:noProof/>
                <w:webHidden/>
              </w:rPr>
              <w:instrText xml:space="preserve"> PAGEREF _Toc115498519 \h </w:instrText>
            </w:r>
            <w:r w:rsidR="00143539">
              <w:rPr>
                <w:noProof/>
                <w:webHidden/>
              </w:rPr>
            </w:r>
            <w:r w:rsidR="00143539">
              <w:rPr>
                <w:noProof/>
                <w:webHidden/>
              </w:rPr>
              <w:fldChar w:fldCharType="separate"/>
            </w:r>
            <w:r w:rsidR="00143539">
              <w:rPr>
                <w:noProof/>
                <w:webHidden/>
              </w:rPr>
              <w:t>2</w:t>
            </w:r>
            <w:r w:rsidR="00143539">
              <w:rPr>
                <w:noProof/>
                <w:webHidden/>
              </w:rPr>
              <w:fldChar w:fldCharType="end"/>
            </w:r>
          </w:hyperlink>
        </w:p>
        <w:p w14:paraId="7EC31071" w14:textId="52C13663" w:rsidR="00143539" w:rsidRDefault="00000000">
          <w:pPr>
            <w:pStyle w:val="TM1"/>
            <w:tabs>
              <w:tab w:val="right" w:leader="dot" w:pos="9056"/>
            </w:tabs>
            <w:rPr>
              <w:rFonts w:eastAsiaTheme="minorEastAsia" w:cstheme="minorBidi"/>
              <w:b w:val="0"/>
              <w:bCs w:val="0"/>
              <w:i w:val="0"/>
              <w:iCs w:val="0"/>
              <w:noProof/>
              <w:lang w:eastAsia="fr-FR"/>
            </w:rPr>
          </w:pPr>
          <w:hyperlink w:anchor="_Toc115498520" w:history="1">
            <w:r w:rsidR="00143539" w:rsidRPr="00A95643">
              <w:rPr>
                <w:rStyle w:val="Lienhypertexte"/>
                <w:noProof/>
                <w:highlight w:val="yellow"/>
              </w:rPr>
              <w:t>Etape 3 : les débats entre constitutionnalistes</w:t>
            </w:r>
            <w:r w:rsidR="00143539">
              <w:rPr>
                <w:noProof/>
                <w:webHidden/>
              </w:rPr>
              <w:tab/>
            </w:r>
            <w:r w:rsidR="00143539">
              <w:rPr>
                <w:noProof/>
                <w:webHidden/>
              </w:rPr>
              <w:fldChar w:fldCharType="begin"/>
            </w:r>
            <w:r w:rsidR="00143539">
              <w:rPr>
                <w:noProof/>
                <w:webHidden/>
              </w:rPr>
              <w:instrText xml:space="preserve"> PAGEREF _Toc115498520 \h </w:instrText>
            </w:r>
            <w:r w:rsidR="00143539">
              <w:rPr>
                <w:noProof/>
                <w:webHidden/>
              </w:rPr>
            </w:r>
            <w:r w:rsidR="00143539">
              <w:rPr>
                <w:noProof/>
                <w:webHidden/>
              </w:rPr>
              <w:fldChar w:fldCharType="separate"/>
            </w:r>
            <w:r w:rsidR="00143539">
              <w:rPr>
                <w:noProof/>
                <w:webHidden/>
              </w:rPr>
              <w:t>5</w:t>
            </w:r>
            <w:r w:rsidR="00143539">
              <w:rPr>
                <w:noProof/>
                <w:webHidden/>
              </w:rPr>
              <w:fldChar w:fldCharType="end"/>
            </w:r>
          </w:hyperlink>
        </w:p>
        <w:p w14:paraId="1C5ABC55" w14:textId="761EE806" w:rsidR="00143539" w:rsidRDefault="00000000">
          <w:pPr>
            <w:pStyle w:val="TM2"/>
            <w:tabs>
              <w:tab w:val="right" w:leader="dot" w:pos="9056"/>
            </w:tabs>
            <w:rPr>
              <w:rFonts w:eastAsiaTheme="minorEastAsia" w:cstheme="minorBidi"/>
              <w:b w:val="0"/>
              <w:bCs w:val="0"/>
              <w:noProof/>
              <w:sz w:val="24"/>
              <w:szCs w:val="24"/>
              <w:lang w:eastAsia="fr-FR"/>
            </w:rPr>
          </w:pPr>
          <w:hyperlink w:anchor="_Toc115498521" w:history="1">
            <w:r w:rsidR="00143539" w:rsidRPr="00A95643">
              <w:rPr>
                <w:rStyle w:val="Lienhypertexte"/>
                <w:noProof/>
                <w:highlight w:val="yellow"/>
              </w:rPr>
              <w:t>3.1 Les arguments contre l’inscription dans la constitution du droit à l’ IVG</w:t>
            </w:r>
            <w:r w:rsidR="00143539">
              <w:rPr>
                <w:noProof/>
                <w:webHidden/>
              </w:rPr>
              <w:tab/>
            </w:r>
            <w:r w:rsidR="00143539">
              <w:rPr>
                <w:noProof/>
                <w:webHidden/>
              </w:rPr>
              <w:fldChar w:fldCharType="begin"/>
            </w:r>
            <w:r w:rsidR="00143539">
              <w:rPr>
                <w:noProof/>
                <w:webHidden/>
              </w:rPr>
              <w:instrText xml:space="preserve"> PAGEREF _Toc115498521 \h </w:instrText>
            </w:r>
            <w:r w:rsidR="00143539">
              <w:rPr>
                <w:noProof/>
                <w:webHidden/>
              </w:rPr>
            </w:r>
            <w:r w:rsidR="00143539">
              <w:rPr>
                <w:noProof/>
                <w:webHidden/>
              </w:rPr>
              <w:fldChar w:fldCharType="separate"/>
            </w:r>
            <w:r w:rsidR="00143539">
              <w:rPr>
                <w:noProof/>
                <w:webHidden/>
              </w:rPr>
              <w:t>5</w:t>
            </w:r>
            <w:r w:rsidR="00143539">
              <w:rPr>
                <w:noProof/>
                <w:webHidden/>
              </w:rPr>
              <w:fldChar w:fldCharType="end"/>
            </w:r>
          </w:hyperlink>
        </w:p>
        <w:p w14:paraId="5FF7D754" w14:textId="0F920B51" w:rsidR="00143539" w:rsidRDefault="00000000">
          <w:pPr>
            <w:pStyle w:val="TM2"/>
            <w:tabs>
              <w:tab w:val="right" w:leader="dot" w:pos="9056"/>
            </w:tabs>
            <w:rPr>
              <w:rFonts w:eastAsiaTheme="minorEastAsia" w:cstheme="minorBidi"/>
              <w:b w:val="0"/>
              <w:bCs w:val="0"/>
              <w:noProof/>
              <w:sz w:val="24"/>
              <w:szCs w:val="24"/>
              <w:lang w:eastAsia="fr-FR"/>
            </w:rPr>
          </w:pPr>
          <w:hyperlink w:anchor="_Toc115498522" w:history="1">
            <w:r w:rsidR="00143539" w:rsidRPr="00A95643">
              <w:rPr>
                <w:rStyle w:val="Lienhypertexte"/>
                <w:noProof/>
                <w:highlight w:val="yellow"/>
              </w:rPr>
              <w:t>3.2 : Les arguments en faveur d’une inscription du droit à l’ IVG dans la constitution : les réponses aux objections</w:t>
            </w:r>
            <w:r w:rsidR="00143539">
              <w:rPr>
                <w:noProof/>
                <w:webHidden/>
              </w:rPr>
              <w:tab/>
            </w:r>
            <w:r w:rsidR="00143539">
              <w:rPr>
                <w:noProof/>
                <w:webHidden/>
              </w:rPr>
              <w:fldChar w:fldCharType="begin"/>
            </w:r>
            <w:r w:rsidR="00143539">
              <w:rPr>
                <w:noProof/>
                <w:webHidden/>
              </w:rPr>
              <w:instrText xml:space="preserve"> PAGEREF _Toc115498522 \h </w:instrText>
            </w:r>
            <w:r w:rsidR="00143539">
              <w:rPr>
                <w:noProof/>
                <w:webHidden/>
              </w:rPr>
            </w:r>
            <w:r w:rsidR="00143539">
              <w:rPr>
                <w:noProof/>
                <w:webHidden/>
              </w:rPr>
              <w:fldChar w:fldCharType="separate"/>
            </w:r>
            <w:r w:rsidR="00143539">
              <w:rPr>
                <w:noProof/>
                <w:webHidden/>
              </w:rPr>
              <w:t>6</w:t>
            </w:r>
            <w:r w:rsidR="00143539">
              <w:rPr>
                <w:noProof/>
                <w:webHidden/>
              </w:rPr>
              <w:fldChar w:fldCharType="end"/>
            </w:r>
          </w:hyperlink>
        </w:p>
        <w:p w14:paraId="420C922C" w14:textId="23574BF7" w:rsidR="00143539" w:rsidRDefault="00000000">
          <w:pPr>
            <w:pStyle w:val="TM1"/>
            <w:tabs>
              <w:tab w:val="right" w:leader="dot" w:pos="9056"/>
            </w:tabs>
            <w:rPr>
              <w:rFonts w:eastAsiaTheme="minorEastAsia" w:cstheme="minorBidi"/>
              <w:b w:val="0"/>
              <w:bCs w:val="0"/>
              <w:i w:val="0"/>
              <w:iCs w:val="0"/>
              <w:noProof/>
              <w:lang w:eastAsia="fr-FR"/>
            </w:rPr>
          </w:pPr>
          <w:hyperlink w:anchor="_Toc115498523" w:history="1">
            <w:r w:rsidR="00143539" w:rsidRPr="00A95643">
              <w:rPr>
                <w:rStyle w:val="Lienhypertexte"/>
                <w:noProof/>
                <w:highlight w:val="yellow"/>
              </w:rPr>
              <w:t>Tâche finale et prolongements</w:t>
            </w:r>
            <w:r w:rsidR="00143539">
              <w:rPr>
                <w:noProof/>
                <w:webHidden/>
              </w:rPr>
              <w:tab/>
            </w:r>
            <w:r w:rsidR="00143539">
              <w:rPr>
                <w:noProof/>
                <w:webHidden/>
              </w:rPr>
              <w:fldChar w:fldCharType="begin"/>
            </w:r>
            <w:r w:rsidR="00143539">
              <w:rPr>
                <w:noProof/>
                <w:webHidden/>
              </w:rPr>
              <w:instrText xml:space="preserve"> PAGEREF _Toc115498523 \h </w:instrText>
            </w:r>
            <w:r w:rsidR="00143539">
              <w:rPr>
                <w:noProof/>
                <w:webHidden/>
              </w:rPr>
            </w:r>
            <w:r w:rsidR="00143539">
              <w:rPr>
                <w:noProof/>
                <w:webHidden/>
              </w:rPr>
              <w:fldChar w:fldCharType="separate"/>
            </w:r>
            <w:r w:rsidR="00143539">
              <w:rPr>
                <w:noProof/>
                <w:webHidden/>
              </w:rPr>
              <w:t>8</w:t>
            </w:r>
            <w:r w:rsidR="00143539">
              <w:rPr>
                <w:noProof/>
                <w:webHidden/>
              </w:rPr>
              <w:fldChar w:fldCharType="end"/>
            </w:r>
          </w:hyperlink>
        </w:p>
        <w:p w14:paraId="36789F46" w14:textId="775087F5" w:rsidR="00AA1178" w:rsidRPr="005A285E" w:rsidRDefault="00AA1178" w:rsidP="005A285E">
          <w:r>
            <w:rPr>
              <w:b/>
              <w:bCs/>
              <w:noProof/>
            </w:rPr>
            <w:fldChar w:fldCharType="end"/>
          </w:r>
        </w:p>
      </w:sdtContent>
    </w:sdt>
    <w:p w14:paraId="0B5FD1E4" w14:textId="2CEA5032" w:rsidR="00983CEE" w:rsidRPr="00983CEE" w:rsidRDefault="00983CEE" w:rsidP="00983CEE">
      <w:pPr>
        <w:pStyle w:val="Titre1"/>
        <w:rPr>
          <w:sz w:val="32"/>
          <w:szCs w:val="32"/>
        </w:rPr>
      </w:pPr>
      <w:bookmarkStart w:id="0" w:name="_Toc115498517"/>
      <w:r w:rsidRPr="00983CEE">
        <w:rPr>
          <w:sz w:val="32"/>
          <w:szCs w:val="32"/>
          <w:highlight w:val="yellow"/>
        </w:rPr>
        <w:t>Introduction</w:t>
      </w:r>
      <w:bookmarkEnd w:id="0"/>
    </w:p>
    <w:p w14:paraId="0759E884" w14:textId="074208FF" w:rsidR="00772D11" w:rsidRDefault="00BF1966" w:rsidP="00011610">
      <w:pPr>
        <w:jc w:val="both"/>
      </w:pPr>
      <w:r>
        <w:t>L’annulation de l’arrêt Roe versus Wade par la Cour suprême américaine le 24 juin 2022</w:t>
      </w:r>
      <w:r w:rsidR="00B2447A">
        <w:t xml:space="preserve">, qui avait été précédée par le durcissement de la législation relative à l’avortement en </w:t>
      </w:r>
      <w:proofErr w:type="gramStart"/>
      <w:r w:rsidR="00B2447A">
        <w:t xml:space="preserve">Pologne, </w:t>
      </w:r>
      <w:r>
        <w:t xml:space="preserve"> a</w:t>
      </w:r>
      <w:proofErr w:type="gramEnd"/>
      <w:r>
        <w:t xml:space="preserve"> donné lieu</w:t>
      </w:r>
      <w:r w:rsidR="00772D11">
        <w:t xml:space="preserve"> à de nouveaux débats</w:t>
      </w:r>
      <w:r>
        <w:t xml:space="preserve"> sur la consécration d’un droit constitutionnel à l’interruption volontaire de grossesse. </w:t>
      </w:r>
      <w:r w:rsidR="00772D11">
        <w:t xml:space="preserve">En outre, </w:t>
      </w:r>
      <w:r w:rsidR="00772D11" w:rsidRPr="006854B0">
        <w:t xml:space="preserve">un sondage de l’IFOP réalisé en juin 2022, </w:t>
      </w:r>
      <w:r w:rsidR="00772D11">
        <w:t xml:space="preserve">montrait que </w:t>
      </w:r>
      <w:r w:rsidR="00772D11" w:rsidRPr="006854B0">
        <w:t>81 % des Français sont favorables à l’inscription de l’avortement dans la Constitution.</w:t>
      </w:r>
    </w:p>
    <w:p w14:paraId="529EC9D3" w14:textId="1F39CF92" w:rsidR="00134ED5" w:rsidRDefault="00134ED5" w:rsidP="00134ED5"/>
    <w:p w14:paraId="341A52B7" w14:textId="58B7ED61" w:rsidR="00663735" w:rsidRDefault="00663735" w:rsidP="00663735">
      <w:pPr>
        <w:jc w:val="both"/>
      </w:pPr>
      <w:r>
        <w:t>Fa</w:t>
      </w:r>
      <w:r w:rsidR="00780C3F">
        <w:t>u</w:t>
      </w:r>
      <w:r>
        <w:t xml:space="preserve">t-il inscrire dans la constitution le droit à </w:t>
      </w:r>
      <w:r w:rsidR="00011610">
        <w:t>l’IVG</w:t>
      </w:r>
      <w:r>
        <w:t xml:space="preserve"> ? </w:t>
      </w:r>
      <w:r w:rsidR="0059320A">
        <w:t>Si oui, comment</w:t>
      </w:r>
      <w:r w:rsidR="00772D11">
        <w:t> ? Des obstacles juridiques se heurtent-ils à une telle consécration</w:t>
      </w:r>
      <w:r w:rsidR="0059320A">
        <w:t> ? Mais u</w:t>
      </w:r>
      <w:r>
        <w:t xml:space="preserve">ne telle inscription est-elle nécessaire et justifiée ? Est-il pertinent d’importer la crise américaine ou bien le droit à </w:t>
      </w:r>
      <w:r w:rsidR="00011610">
        <w:t>l’IVG</w:t>
      </w:r>
      <w:r>
        <w:t xml:space="preserve"> est-il suffisamment protégé en </w:t>
      </w:r>
      <w:r w:rsidR="00011610">
        <w:t xml:space="preserve">France </w:t>
      </w:r>
      <w:r>
        <w:t>?</w:t>
      </w:r>
    </w:p>
    <w:p w14:paraId="0EAB5B84" w14:textId="5EE28F5F" w:rsidR="00BF1966" w:rsidRDefault="00BF1966"/>
    <w:p w14:paraId="34A32719" w14:textId="6E599B90" w:rsidR="00BF1966" w:rsidRPr="00983CEE" w:rsidRDefault="00134ED5" w:rsidP="00983CEE">
      <w:pPr>
        <w:pStyle w:val="Titre1"/>
        <w:rPr>
          <w:sz w:val="32"/>
          <w:szCs w:val="32"/>
        </w:rPr>
      </w:pPr>
      <w:bookmarkStart w:id="1" w:name="_Toc115498518"/>
      <w:r w:rsidRPr="005A285E">
        <w:rPr>
          <w:sz w:val="32"/>
          <w:szCs w:val="32"/>
          <w:highlight w:val="yellow"/>
        </w:rPr>
        <w:t>Étape</w:t>
      </w:r>
      <w:r w:rsidR="00BF1966" w:rsidRPr="005A285E">
        <w:rPr>
          <w:sz w:val="32"/>
          <w:szCs w:val="32"/>
          <w:highlight w:val="yellow"/>
        </w:rPr>
        <w:t xml:space="preserve"> 1</w:t>
      </w:r>
      <w:r w:rsidR="005A285E" w:rsidRPr="005A285E">
        <w:rPr>
          <w:sz w:val="32"/>
          <w:szCs w:val="32"/>
          <w:highlight w:val="yellow"/>
        </w:rPr>
        <w:t> : La décision de la cour suprême des Etats-Unis</w:t>
      </w:r>
      <w:bookmarkEnd w:id="1"/>
    </w:p>
    <w:p w14:paraId="0D8AFD02" w14:textId="0AE9B2A5" w:rsidR="00BF1966" w:rsidRDefault="00BF1966" w:rsidP="00E47025">
      <w:r>
        <w:t xml:space="preserve">Le 24 juin 2022, la Cour suprême américaine a renversé l’arrêt </w:t>
      </w:r>
      <w:r>
        <w:rPr>
          <w:rStyle w:val="cital"/>
        </w:rPr>
        <w:t>Roe versus Wade</w:t>
      </w:r>
      <w:r>
        <w:t xml:space="preserve"> de 1973, qui consacrait le droit à l’avortement au niveau fédéral.</w:t>
      </w:r>
    </w:p>
    <w:p w14:paraId="444BFA74" w14:textId="24E542DD" w:rsidR="00BF1966" w:rsidRDefault="00BF1966">
      <w:r>
        <w:t xml:space="preserve">  </w:t>
      </w:r>
    </w:p>
    <w:p w14:paraId="2E741001" w14:textId="460F9D39" w:rsidR="00BF1966" w:rsidRPr="00FB7F16" w:rsidRDefault="00FB7F16" w:rsidP="00FB7F16">
      <w:pPr>
        <w:pBdr>
          <w:top w:val="single" w:sz="4" w:space="1" w:color="auto"/>
          <w:left w:val="single" w:sz="4" w:space="4" w:color="auto"/>
          <w:bottom w:val="single" w:sz="4" w:space="1" w:color="auto"/>
          <w:right w:val="single" w:sz="4" w:space="4" w:color="auto"/>
        </w:pBdr>
        <w:rPr>
          <w:color w:val="002060"/>
        </w:rPr>
      </w:pPr>
      <w:r w:rsidRPr="00134ED5">
        <w:rPr>
          <w:color w:val="002060"/>
          <w:highlight w:val="cyan"/>
        </w:rPr>
        <w:lastRenderedPageBreak/>
        <w:t>Mise en activité</w:t>
      </w:r>
    </w:p>
    <w:p w14:paraId="600F6F1E" w14:textId="0F28EF67" w:rsidR="00FB7F16" w:rsidRPr="00FB7F16" w:rsidRDefault="00FB7F16" w:rsidP="00FB7F16">
      <w:pPr>
        <w:pBdr>
          <w:top w:val="single" w:sz="4" w:space="1" w:color="auto"/>
          <w:left w:val="single" w:sz="4" w:space="4" w:color="auto"/>
          <w:bottom w:val="single" w:sz="4" w:space="1" w:color="auto"/>
          <w:right w:val="single" w:sz="4" w:space="4" w:color="auto"/>
        </w:pBdr>
        <w:rPr>
          <w:color w:val="002060"/>
        </w:rPr>
      </w:pPr>
      <w:r w:rsidRPr="00FB7F16">
        <w:rPr>
          <w:color w:val="002060"/>
        </w:rPr>
        <w:t xml:space="preserve">A partir de la collection </w:t>
      </w:r>
      <w:proofErr w:type="spellStart"/>
      <w:r w:rsidRPr="00FB7F16">
        <w:rPr>
          <w:color w:val="002060"/>
        </w:rPr>
        <w:t>pearltrees</w:t>
      </w:r>
      <w:proofErr w:type="spellEnd"/>
      <w:r w:rsidRPr="00FB7F16">
        <w:rPr>
          <w:color w:val="002060"/>
        </w:rPr>
        <w:t xml:space="preserve"> dédiée :</w:t>
      </w:r>
    </w:p>
    <w:p w14:paraId="687E97CC" w14:textId="4B5898A0" w:rsidR="00FB7F16" w:rsidRPr="00FB7F16" w:rsidRDefault="00FB7F16" w:rsidP="00FB7F16">
      <w:pPr>
        <w:pBdr>
          <w:top w:val="single" w:sz="4" w:space="1" w:color="auto"/>
          <w:left w:val="single" w:sz="4" w:space="4" w:color="auto"/>
          <w:bottom w:val="single" w:sz="4" w:space="1" w:color="auto"/>
          <w:right w:val="single" w:sz="4" w:space="4" w:color="auto"/>
        </w:pBdr>
        <w:rPr>
          <w:color w:val="002060"/>
        </w:rPr>
      </w:pPr>
      <w:proofErr w:type="gramStart"/>
      <w:r w:rsidRPr="00FB7F16">
        <w:rPr>
          <w:color w:val="002060"/>
        </w:rPr>
        <w:t>Faire</w:t>
      </w:r>
      <w:proofErr w:type="gramEnd"/>
      <w:r w:rsidRPr="00FB7F16">
        <w:rPr>
          <w:color w:val="002060"/>
        </w:rPr>
        <w:t xml:space="preserve"> des recherches sur l’arrêt Roe versus Wade de 1973</w:t>
      </w:r>
    </w:p>
    <w:p w14:paraId="51F7F822" w14:textId="522329C5" w:rsidR="00FB7F16" w:rsidRPr="00FB7F16" w:rsidRDefault="00FB7F16" w:rsidP="00FB7F16">
      <w:pPr>
        <w:pBdr>
          <w:top w:val="single" w:sz="4" w:space="1" w:color="auto"/>
          <w:left w:val="single" w:sz="4" w:space="4" w:color="auto"/>
          <w:bottom w:val="single" w:sz="4" w:space="1" w:color="auto"/>
          <w:right w:val="single" w:sz="4" w:space="4" w:color="auto"/>
        </w:pBdr>
        <w:rPr>
          <w:color w:val="002060"/>
        </w:rPr>
      </w:pPr>
      <w:proofErr w:type="gramStart"/>
      <w:r w:rsidRPr="00FB7F16">
        <w:rPr>
          <w:color w:val="002060"/>
        </w:rPr>
        <w:t>Faire</w:t>
      </w:r>
      <w:proofErr w:type="gramEnd"/>
      <w:r w:rsidRPr="00FB7F16">
        <w:rPr>
          <w:color w:val="002060"/>
        </w:rPr>
        <w:t xml:space="preserve"> des recherches sur le rôle de la cour suprême aux Etats-Unis et sur l’annulation de l’arrêt Roe versus Wade par la Cour suprême américaine le 24 juin </w:t>
      </w:r>
      <w:r>
        <w:rPr>
          <w:color w:val="002060"/>
        </w:rPr>
        <w:t>2022</w:t>
      </w:r>
    </w:p>
    <w:p w14:paraId="415BB4D2" w14:textId="7634AE7B" w:rsidR="00FB7F16" w:rsidRDefault="00FB7F16"/>
    <w:p w14:paraId="413BB790" w14:textId="77777777" w:rsidR="006854B0" w:rsidRDefault="006854B0" w:rsidP="00FB7F16"/>
    <w:p w14:paraId="6BFFD6A7" w14:textId="77777777" w:rsidR="006854B0" w:rsidRDefault="006854B0" w:rsidP="00FB7F16"/>
    <w:p w14:paraId="5404BEBF" w14:textId="60014DF7" w:rsidR="00983CEE" w:rsidRPr="00983CEE" w:rsidRDefault="00134ED5" w:rsidP="00983CEE">
      <w:pPr>
        <w:pStyle w:val="Titre1"/>
        <w:rPr>
          <w:sz w:val="32"/>
          <w:szCs w:val="32"/>
        </w:rPr>
      </w:pPr>
      <w:bookmarkStart w:id="2" w:name="_Toc115498519"/>
      <w:r w:rsidRPr="005A285E">
        <w:rPr>
          <w:sz w:val="32"/>
          <w:szCs w:val="32"/>
          <w:highlight w:val="yellow"/>
        </w:rPr>
        <w:t>Étape</w:t>
      </w:r>
      <w:r w:rsidR="00FB7F16" w:rsidRPr="005A285E">
        <w:rPr>
          <w:sz w:val="32"/>
          <w:szCs w:val="32"/>
          <w:highlight w:val="yellow"/>
        </w:rPr>
        <w:t xml:space="preserve"> 2</w:t>
      </w:r>
      <w:r w:rsidR="005A285E" w:rsidRPr="005A285E">
        <w:rPr>
          <w:sz w:val="32"/>
          <w:szCs w:val="32"/>
          <w:highlight w:val="yellow"/>
        </w:rPr>
        <w:t> : Les propositions de loi</w:t>
      </w:r>
      <w:bookmarkEnd w:id="2"/>
      <w:r w:rsidR="005A285E">
        <w:rPr>
          <w:sz w:val="32"/>
          <w:szCs w:val="32"/>
        </w:rPr>
        <w:t xml:space="preserve"> </w:t>
      </w:r>
    </w:p>
    <w:p w14:paraId="5A63AE05" w14:textId="77777777" w:rsidR="00983CEE" w:rsidRDefault="00983CEE" w:rsidP="00FB7F16"/>
    <w:p w14:paraId="24B502C5" w14:textId="55167A6E" w:rsidR="00A210E0" w:rsidRDefault="00FB7F16" w:rsidP="00FB7F16">
      <w:r>
        <w:t>Cette décision a entrainé en France le dépôt de propositions de loi à l’Assemblée nationale et au Sénat visant à constitutionnaliser ce droit.</w:t>
      </w:r>
      <w:r w:rsidR="006854B0">
        <w:t xml:space="preserve"> </w:t>
      </w:r>
    </w:p>
    <w:p w14:paraId="09B71423" w14:textId="3EAB7470" w:rsidR="00FB7F16" w:rsidRDefault="00FB7F16" w:rsidP="00FB7F16"/>
    <w:p w14:paraId="3C2AC22B" w14:textId="4F67B92C" w:rsidR="00FB7F16" w:rsidRDefault="00FB7F16" w:rsidP="00134ED5"/>
    <w:p w14:paraId="7D16DE86" w14:textId="7D364A69" w:rsidR="00876E12" w:rsidRPr="00134ED5" w:rsidRDefault="00FB7F16" w:rsidP="00134ED5">
      <w:pPr>
        <w:pStyle w:val="Paragraphedeliste"/>
        <w:numPr>
          <w:ilvl w:val="0"/>
          <w:numId w:val="4"/>
        </w:numPr>
        <w:rPr>
          <w:color w:val="4472C4" w:themeColor="accent1"/>
        </w:rPr>
      </w:pPr>
      <w:r w:rsidRPr="00134ED5">
        <w:rPr>
          <w:color w:val="4472C4" w:themeColor="accent1"/>
          <w:highlight w:val="cyan"/>
        </w:rPr>
        <w:t>Mise en activité</w:t>
      </w:r>
      <w:r w:rsidRPr="00134ED5">
        <w:rPr>
          <w:color w:val="4472C4" w:themeColor="accent1"/>
        </w:rPr>
        <w:t xml:space="preserve"> </w:t>
      </w:r>
    </w:p>
    <w:p w14:paraId="29C3E47D" w14:textId="77777777" w:rsidR="00134ED5" w:rsidRPr="00134ED5" w:rsidRDefault="00134ED5" w:rsidP="00134ED5">
      <w:pPr>
        <w:rPr>
          <w:color w:val="4472C4" w:themeColor="accent1"/>
        </w:rPr>
      </w:pPr>
    </w:p>
    <w:p w14:paraId="178CB7FF" w14:textId="77777777" w:rsidR="00134ED5" w:rsidRDefault="00876E12" w:rsidP="00134ED5">
      <w:pPr>
        <w:pBdr>
          <w:top w:val="single" w:sz="4" w:space="1" w:color="auto"/>
          <w:left w:val="single" w:sz="4" w:space="4" w:color="auto"/>
          <w:bottom w:val="single" w:sz="4" w:space="1" w:color="auto"/>
          <w:right w:val="single" w:sz="4" w:space="4" w:color="auto"/>
        </w:pBdr>
        <w:rPr>
          <w:color w:val="4472C4" w:themeColor="accent1"/>
        </w:rPr>
      </w:pPr>
      <w:r w:rsidRPr="00134ED5">
        <w:rPr>
          <w:color w:val="4472C4" w:themeColor="accent1"/>
        </w:rPr>
        <w:t xml:space="preserve">Qu’est-ce qu’une loi constitutionnelle ? </w:t>
      </w:r>
    </w:p>
    <w:p w14:paraId="762D6C55" w14:textId="77777777" w:rsidR="00134ED5" w:rsidRDefault="00134ED5" w:rsidP="00134ED5">
      <w:pPr>
        <w:pBdr>
          <w:top w:val="single" w:sz="4" w:space="1" w:color="auto"/>
          <w:left w:val="single" w:sz="4" w:space="4" w:color="auto"/>
          <w:bottom w:val="single" w:sz="4" w:space="1" w:color="auto"/>
          <w:right w:val="single" w:sz="4" w:space="4" w:color="auto"/>
        </w:pBdr>
        <w:rPr>
          <w:color w:val="4472C4" w:themeColor="accent1"/>
        </w:rPr>
      </w:pPr>
    </w:p>
    <w:p w14:paraId="5937A6BF" w14:textId="0C7B6DBC" w:rsidR="00FB7F16" w:rsidRPr="00134ED5" w:rsidRDefault="00876E12" w:rsidP="00134ED5">
      <w:pPr>
        <w:pBdr>
          <w:top w:val="single" w:sz="4" w:space="1" w:color="auto"/>
          <w:left w:val="single" w:sz="4" w:space="4" w:color="auto"/>
          <w:bottom w:val="single" w:sz="4" w:space="1" w:color="auto"/>
          <w:right w:val="single" w:sz="4" w:space="4" w:color="auto"/>
        </w:pBdr>
        <w:rPr>
          <w:color w:val="4472C4" w:themeColor="accent1"/>
        </w:rPr>
      </w:pPr>
      <w:r w:rsidRPr="00134ED5">
        <w:rPr>
          <w:color w:val="4472C4" w:themeColor="accent1"/>
        </w:rPr>
        <w:t>Quelle est la procédure de révision de la constitution</w:t>
      </w:r>
    </w:p>
    <w:p w14:paraId="7D835A03" w14:textId="77777777" w:rsidR="00134ED5" w:rsidRDefault="00134ED5" w:rsidP="00134ED5">
      <w:pPr>
        <w:pBdr>
          <w:top w:val="single" w:sz="4" w:space="1" w:color="auto"/>
          <w:left w:val="single" w:sz="4" w:space="4" w:color="auto"/>
          <w:bottom w:val="single" w:sz="4" w:space="1" w:color="auto"/>
          <w:right w:val="single" w:sz="4" w:space="4" w:color="auto"/>
        </w:pBdr>
        <w:rPr>
          <w:color w:val="4472C4" w:themeColor="accent1"/>
        </w:rPr>
      </w:pPr>
    </w:p>
    <w:p w14:paraId="3CDC14E9" w14:textId="70E512B1" w:rsidR="00876E12" w:rsidRPr="00134ED5" w:rsidRDefault="00876E12" w:rsidP="00134ED5">
      <w:pPr>
        <w:pBdr>
          <w:top w:val="single" w:sz="4" w:space="1" w:color="auto"/>
          <w:left w:val="single" w:sz="4" w:space="4" w:color="auto"/>
          <w:bottom w:val="single" w:sz="4" w:space="1" w:color="auto"/>
          <w:right w:val="single" w:sz="4" w:space="4" w:color="auto"/>
        </w:pBdr>
        <w:rPr>
          <w:color w:val="4472C4" w:themeColor="accent1"/>
        </w:rPr>
      </w:pPr>
      <w:r w:rsidRPr="00134ED5">
        <w:rPr>
          <w:color w:val="4472C4" w:themeColor="accent1"/>
        </w:rPr>
        <w:t>Qu’est-ce qu’une proposition de loi ?</w:t>
      </w:r>
      <w:r w:rsidR="00134ED5">
        <w:rPr>
          <w:color w:val="4472C4" w:themeColor="accent1"/>
        </w:rPr>
        <w:t xml:space="preserve"> Qu’est-ce qu’</w:t>
      </w:r>
      <w:r w:rsidR="00927A9C">
        <w:rPr>
          <w:color w:val="4472C4" w:themeColor="accent1"/>
        </w:rPr>
        <w:t>u</w:t>
      </w:r>
      <w:r w:rsidR="00134ED5">
        <w:rPr>
          <w:color w:val="4472C4" w:themeColor="accent1"/>
        </w:rPr>
        <w:t>n projet de loi ?</w:t>
      </w:r>
    </w:p>
    <w:p w14:paraId="6A440AF8" w14:textId="4315BBDC" w:rsidR="006854B0" w:rsidRPr="00134ED5" w:rsidRDefault="006854B0" w:rsidP="00134ED5">
      <w:pPr>
        <w:pBdr>
          <w:top w:val="single" w:sz="4" w:space="1" w:color="auto"/>
          <w:left w:val="single" w:sz="4" w:space="4" w:color="auto"/>
          <w:bottom w:val="single" w:sz="4" w:space="1" w:color="auto"/>
          <w:right w:val="single" w:sz="4" w:space="4" w:color="auto"/>
        </w:pBdr>
        <w:rPr>
          <w:color w:val="4472C4" w:themeColor="accent1"/>
        </w:rPr>
      </w:pPr>
    </w:p>
    <w:p w14:paraId="33D4BC7E" w14:textId="034FF1E3" w:rsidR="006854B0" w:rsidRDefault="006854B0" w:rsidP="00134ED5">
      <w:pPr>
        <w:pBdr>
          <w:top w:val="single" w:sz="4" w:space="1" w:color="auto"/>
          <w:left w:val="single" w:sz="4" w:space="4" w:color="auto"/>
          <w:bottom w:val="single" w:sz="4" w:space="1" w:color="auto"/>
          <w:right w:val="single" w:sz="4" w:space="4" w:color="auto"/>
        </w:pBdr>
      </w:pPr>
    </w:p>
    <w:p w14:paraId="307AB9F2" w14:textId="6F3C493C" w:rsidR="006854B0" w:rsidRDefault="006854B0" w:rsidP="006854B0"/>
    <w:p w14:paraId="76D27835" w14:textId="77777777" w:rsidR="006854B0" w:rsidRDefault="006854B0" w:rsidP="006854B0"/>
    <w:p w14:paraId="71B6372C" w14:textId="50207771" w:rsidR="00876E12" w:rsidRDefault="00876E12" w:rsidP="00876E12"/>
    <w:p w14:paraId="0892F941" w14:textId="0E62CA1E" w:rsidR="00876E12" w:rsidRPr="00134ED5" w:rsidRDefault="00876E12" w:rsidP="00134ED5">
      <w:pPr>
        <w:pStyle w:val="Paragraphedeliste"/>
        <w:numPr>
          <w:ilvl w:val="0"/>
          <w:numId w:val="4"/>
        </w:numPr>
      </w:pPr>
      <w:r w:rsidRPr="00134ED5">
        <w:t xml:space="preserve">Examen des propositions déposées à </w:t>
      </w:r>
      <w:r w:rsidR="004E3FA3" w:rsidRPr="00134ED5">
        <w:t>l’Assemblée</w:t>
      </w:r>
      <w:r w:rsidRPr="00134ED5">
        <w:t xml:space="preserve"> nationale et au Sénat</w:t>
      </w:r>
    </w:p>
    <w:p w14:paraId="01D400F4" w14:textId="3D354BAF" w:rsidR="000F3D3A" w:rsidRDefault="000F3D3A" w:rsidP="00876E12"/>
    <w:p w14:paraId="3130BF91" w14:textId="77777777" w:rsidR="005A285E" w:rsidRDefault="005A285E" w:rsidP="004E3FA3">
      <w:pPr>
        <w:pStyle w:val="assnattitrepg"/>
        <w:pBdr>
          <w:top w:val="single" w:sz="4" w:space="1" w:color="auto"/>
          <w:left w:val="single" w:sz="4" w:space="4" w:color="auto"/>
          <w:bottom w:val="single" w:sz="4" w:space="1" w:color="auto"/>
          <w:right w:val="single" w:sz="4" w:space="4" w:color="auto"/>
        </w:pBdr>
        <w:rPr>
          <w:b/>
          <w:bCs/>
          <w:sz w:val="28"/>
          <w:szCs w:val="28"/>
          <w:highlight w:val="cyan"/>
        </w:rPr>
      </w:pPr>
    </w:p>
    <w:p w14:paraId="4FF0CDE3" w14:textId="2D18F30B" w:rsidR="004E3FA3" w:rsidRPr="005A285E" w:rsidRDefault="004E3FA3" w:rsidP="004E3FA3">
      <w:pPr>
        <w:pStyle w:val="assnattitrepg"/>
        <w:pBdr>
          <w:top w:val="single" w:sz="4" w:space="1" w:color="auto"/>
          <w:left w:val="single" w:sz="4" w:space="4" w:color="auto"/>
          <w:bottom w:val="single" w:sz="4" w:space="1" w:color="auto"/>
          <w:right w:val="single" w:sz="4" w:space="4" w:color="auto"/>
        </w:pBdr>
        <w:rPr>
          <w:b/>
          <w:bCs/>
          <w:sz w:val="28"/>
          <w:szCs w:val="28"/>
        </w:rPr>
      </w:pPr>
      <w:r w:rsidRPr="005A285E">
        <w:rPr>
          <w:b/>
          <w:bCs/>
          <w:sz w:val="28"/>
          <w:szCs w:val="28"/>
          <w:highlight w:val="cyan"/>
        </w:rPr>
        <w:t xml:space="preserve">Document 1 : Proposition déposée à l’Assemblée </w:t>
      </w:r>
      <w:proofErr w:type="gramStart"/>
      <w:r w:rsidRPr="005A285E">
        <w:rPr>
          <w:b/>
          <w:bCs/>
          <w:sz w:val="28"/>
          <w:szCs w:val="28"/>
          <w:highlight w:val="cyan"/>
        </w:rPr>
        <w:t>Nationale</w:t>
      </w:r>
      <w:proofErr w:type="gramEnd"/>
      <w:r w:rsidRPr="005A285E">
        <w:rPr>
          <w:b/>
          <w:bCs/>
          <w:sz w:val="28"/>
          <w:szCs w:val="28"/>
          <w:highlight w:val="cyan"/>
        </w:rPr>
        <w:t xml:space="preserve"> : </w:t>
      </w:r>
      <w:hyperlink r:id="rId8" w:history="1">
        <w:r w:rsidRPr="005A285E">
          <w:rPr>
            <w:rStyle w:val="Lienhypertexte"/>
            <w:b/>
            <w:bCs/>
            <w:sz w:val="28"/>
            <w:szCs w:val="28"/>
            <w:highlight w:val="cyan"/>
          </w:rPr>
          <w:t>https://www.assemblee-nationale.fr/dyn/16/textes/l16b0008_proposition-loi#</w:t>
        </w:r>
      </w:hyperlink>
    </w:p>
    <w:p w14:paraId="24E83FCF" w14:textId="77777777" w:rsidR="004E3FA3" w:rsidRPr="004E3FA3" w:rsidRDefault="004E3FA3" w:rsidP="004E3FA3">
      <w:pPr>
        <w:pStyle w:val="assnattitrepg"/>
        <w:pBdr>
          <w:top w:val="single" w:sz="4" w:space="1" w:color="auto"/>
          <w:left w:val="single" w:sz="4" w:space="4" w:color="auto"/>
          <w:bottom w:val="single" w:sz="4" w:space="1" w:color="auto"/>
          <w:right w:val="single" w:sz="4" w:space="4" w:color="auto"/>
        </w:pBdr>
        <w:rPr>
          <w:b/>
          <w:bCs/>
          <w:sz w:val="20"/>
          <w:szCs w:val="20"/>
        </w:rPr>
      </w:pPr>
    </w:p>
    <w:p w14:paraId="1080C817" w14:textId="7DFF8DD3" w:rsidR="000F3D3A" w:rsidRDefault="004E3FA3" w:rsidP="004E3FA3">
      <w:pPr>
        <w:pStyle w:val="assnattitrepg"/>
        <w:pBdr>
          <w:top w:val="single" w:sz="4" w:space="1" w:color="auto"/>
          <w:left w:val="single" w:sz="4" w:space="4" w:color="auto"/>
          <w:bottom w:val="single" w:sz="4" w:space="1" w:color="auto"/>
          <w:right w:val="single" w:sz="4" w:space="4" w:color="auto"/>
        </w:pBdr>
        <w:rPr>
          <w:sz w:val="20"/>
          <w:szCs w:val="20"/>
        </w:rPr>
      </w:pPr>
      <w:r w:rsidRPr="004E3FA3">
        <w:rPr>
          <w:i/>
          <w:iCs/>
          <w:sz w:val="20"/>
          <w:szCs w:val="20"/>
        </w:rPr>
        <w:t xml:space="preserve">PROPOSITION DE LOI CONSTITUTIONNELLE </w:t>
      </w:r>
      <w:r w:rsidR="000F3D3A" w:rsidRPr="000F3D3A">
        <w:rPr>
          <w:i/>
          <w:iCs/>
          <w:sz w:val="20"/>
          <w:szCs w:val="20"/>
        </w:rPr>
        <w:t xml:space="preserve">visant à </w:t>
      </w:r>
      <w:r w:rsidR="000F3D3A" w:rsidRPr="000F3D3A">
        <w:rPr>
          <w:rFonts w:hint="cs"/>
          <w:b/>
          <w:bCs/>
          <w:sz w:val="20"/>
          <w:szCs w:val="20"/>
        </w:rPr>
        <w:t>garantir</w:t>
      </w:r>
      <w:r w:rsidR="000F3D3A" w:rsidRPr="000F3D3A">
        <w:rPr>
          <w:i/>
          <w:iCs/>
          <w:sz w:val="20"/>
          <w:szCs w:val="20"/>
        </w:rPr>
        <w:t xml:space="preserve"> le </w:t>
      </w:r>
      <w:r w:rsidR="000F3D3A" w:rsidRPr="000F3D3A">
        <w:rPr>
          <w:rFonts w:hint="cs"/>
          <w:b/>
          <w:bCs/>
          <w:sz w:val="20"/>
          <w:szCs w:val="20"/>
        </w:rPr>
        <w:t>droit</w:t>
      </w:r>
      <w:r w:rsidR="000F3D3A" w:rsidRPr="000F3D3A">
        <w:rPr>
          <w:i/>
          <w:iCs/>
          <w:sz w:val="20"/>
          <w:szCs w:val="20"/>
        </w:rPr>
        <w:t xml:space="preserve"> à l’</w:t>
      </w:r>
      <w:r w:rsidR="000F3D3A" w:rsidRPr="000F3D3A">
        <w:rPr>
          <w:rFonts w:hint="cs"/>
          <w:b/>
          <w:bCs/>
          <w:sz w:val="20"/>
          <w:szCs w:val="20"/>
        </w:rPr>
        <w:t>interruption</w:t>
      </w:r>
      <w:r w:rsidR="000F3D3A" w:rsidRPr="000F3D3A">
        <w:rPr>
          <w:i/>
          <w:iCs/>
          <w:sz w:val="20"/>
          <w:szCs w:val="20"/>
        </w:rPr>
        <w:t xml:space="preserve"> de </w:t>
      </w:r>
      <w:r w:rsidR="000F3D3A" w:rsidRPr="000F3D3A">
        <w:rPr>
          <w:rFonts w:hint="cs"/>
          <w:b/>
          <w:bCs/>
          <w:sz w:val="20"/>
          <w:szCs w:val="20"/>
        </w:rPr>
        <w:t>grossesse</w:t>
      </w:r>
      <w:r w:rsidR="000F3D3A" w:rsidRPr="000F3D3A">
        <w:rPr>
          <w:i/>
          <w:iCs/>
          <w:sz w:val="20"/>
          <w:szCs w:val="20"/>
        </w:rPr>
        <w:t>,</w:t>
      </w:r>
      <w:r w:rsidR="000F3D3A" w:rsidRPr="000F3D3A">
        <w:rPr>
          <w:sz w:val="20"/>
          <w:szCs w:val="20"/>
        </w:rPr>
        <w:t xml:space="preserve"> (Renvoyée à la </w:t>
      </w:r>
      <w:r w:rsidR="000F3D3A" w:rsidRPr="000F3D3A">
        <w:rPr>
          <w:sz w:val="20"/>
          <w:szCs w:val="20"/>
          <w:shd w:val="clear" w:color="auto" w:fill="FFFFFF"/>
        </w:rPr>
        <w:t>commission des lois constitutionnelles</w:t>
      </w:r>
      <w:r w:rsidR="000F3D3A" w:rsidRPr="000F3D3A">
        <w:rPr>
          <w:sz w:val="20"/>
          <w:szCs w:val="20"/>
        </w:rPr>
        <w:t>, de la législation et de l’administration générale</w:t>
      </w:r>
      <w:r w:rsidR="000F3D3A" w:rsidRPr="000F3D3A">
        <w:rPr>
          <w:sz w:val="20"/>
          <w:szCs w:val="20"/>
        </w:rPr>
        <w:br/>
        <w:t>de la République</w:t>
      </w:r>
      <w:r w:rsidR="000F3D3A" w:rsidRPr="000F3D3A">
        <w:rPr>
          <w:sz w:val="20"/>
          <w:szCs w:val="20"/>
          <w:shd w:val="clear" w:color="auto" w:fill="FFFFFF"/>
        </w:rPr>
        <w:t>, à défaut de constitution d’une commission spéciale</w:t>
      </w:r>
      <w:r w:rsidR="000F3D3A" w:rsidRPr="000F3D3A">
        <w:rPr>
          <w:sz w:val="20"/>
          <w:szCs w:val="20"/>
        </w:rPr>
        <w:t xml:space="preserve"> dans les délais prévus par les articles 30 et 31 du Règlement.) présentée par Mesdames et Messieurs </w:t>
      </w:r>
      <w:r w:rsidR="000F3D3A" w:rsidRPr="000F3D3A">
        <w:rPr>
          <w:rStyle w:val="assnatlnom"/>
          <w:sz w:val="20"/>
          <w:szCs w:val="20"/>
        </w:rPr>
        <w:t>Aurore BERGÉ, Marie</w:t>
      </w:r>
      <w:r w:rsidR="000F3D3A" w:rsidRPr="000F3D3A">
        <w:rPr>
          <w:rStyle w:val="assnatlnom"/>
          <w:sz w:val="20"/>
          <w:szCs w:val="20"/>
        </w:rPr>
        <w:noBreakHyphen/>
        <w:t>Pierre RIXAIN et les membres du groupe Renaissance et apparentés </w:t>
      </w:r>
      <w:r w:rsidR="000F3D3A" w:rsidRPr="000F3D3A">
        <w:rPr>
          <w:rStyle w:val="assnatlnom"/>
          <w:sz w:val="20"/>
          <w:szCs w:val="20"/>
          <w:vertAlign w:val="superscript"/>
        </w:rPr>
        <w:t>(1)</w:t>
      </w:r>
      <w:r w:rsidR="000F3D3A" w:rsidRPr="000F3D3A">
        <w:rPr>
          <w:sz w:val="20"/>
          <w:szCs w:val="20"/>
        </w:rPr>
        <w:t xml:space="preserve"> </w:t>
      </w:r>
    </w:p>
    <w:p w14:paraId="2CD93FC8" w14:textId="77777777" w:rsidR="000F3D3A" w:rsidRDefault="000F3D3A" w:rsidP="006854B0">
      <w:pPr>
        <w:pStyle w:val="assnat4titreintit1"/>
        <w:pBdr>
          <w:top w:val="single" w:sz="4" w:space="1" w:color="auto"/>
          <w:left w:val="single" w:sz="4" w:space="4" w:color="auto"/>
          <w:bottom w:val="single" w:sz="4" w:space="1" w:color="auto"/>
          <w:right w:val="single" w:sz="4" w:space="4" w:color="auto"/>
        </w:pBdr>
        <w:spacing w:before="120" w:beforeAutospacing="0"/>
      </w:pPr>
      <w:r>
        <w:rPr>
          <w:rFonts w:hint="cs"/>
        </w:rPr>
        <w:t>EXPOSÉ DES MOTIFS</w:t>
      </w:r>
      <w:r>
        <w:t xml:space="preserve"> </w:t>
      </w:r>
    </w:p>
    <w:p w14:paraId="2570B473" w14:textId="77777777" w:rsidR="000F3D3A" w:rsidRDefault="000F3D3A" w:rsidP="006854B0">
      <w:pPr>
        <w:pStyle w:val="NormalWeb"/>
        <w:pBdr>
          <w:top w:val="single" w:sz="4" w:space="1" w:color="auto"/>
          <w:left w:val="single" w:sz="4" w:space="4" w:color="auto"/>
          <w:bottom w:val="single" w:sz="4" w:space="1" w:color="auto"/>
          <w:right w:val="single" w:sz="4" w:space="4" w:color="auto"/>
        </w:pBdr>
        <w:spacing w:after="240" w:afterAutospacing="0"/>
        <w:ind w:firstLine="851"/>
      </w:pPr>
      <w:r>
        <w:t>M</w:t>
      </w:r>
      <w:r>
        <w:rPr>
          <w:smallCaps/>
        </w:rPr>
        <w:t>esdames</w:t>
      </w:r>
      <w:r>
        <w:t>, M</w:t>
      </w:r>
      <w:r>
        <w:rPr>
          <w:smallCaps/>
        </w:rPr>
        <w:t>essieurs</w:t>
      </w:r>
      <w:r>
        <w:t xml:space="preserve">, </w:t>
      </w:r>
    </w:p>
    <w:p w14:paraId="6FC75C9E" w14:textId="77777777" w:rsidR="000F3D3A" w:rsidRDefault="000F3D3A" w:rsidP="006854B0">
      <w:pPr>
        <w:pStyle w:val="assnatloitexte"/>
        <w:pBdr>
          <w:top w:val="single" w:sz="4" w:space="1" w:color="auto"/>
          <w:left w:val="single" w:sz="4" w:space="4" w:color="auto"/>
          <w:bottom w:val="single" w:sz="4" w:space="1" w:color="auto"/>
          <w:right w:val="single" w:sz="4" w:space="4" w:color="auto"/>
        </w:pBdr>
      </w:pPr>
      <w:r>
        <w:lastRenderedPageBreak/>
        <w:t>Le 24 juin 2022, la Cour suprême des États</w:t>
      </w:r>
      <w:r>
        <w:noBreakHyphen/>
        <w:t>Unis a annulé une décision du 22 janvier 1973 reconnaissant le droit à l’avortement au niveau de l’ensemble des États. En conséquence, un État pourra dès aujourd’hui interdire les interruptions volontaires de grossesse. Treize États des États</w:t>
      </w:r>
      <w:r>
        <w:noBreakHyphen/>
        <w:t xml:space="preserve">Unis s’étaient dotés, ces dernières années, de lois rédigées pour entrer en vigueur automatiquement en cas de changement de la jurisprudence de la Cour suprême. Dans les heures qui ont suivi la publication de la décision, pas moins de sept États les ont instaurées. </w:t>
      </w:r>
    </w:p>
    <w:p w14:paraId="4E39061E" w14:textId="77777777" w:rsidR="000F3D3A" w:rsidRDefault="000F3D3A" w:rsidP="006854B0">
      <w:pPr>
        <w:pStyle w:val="assnatloitexte"/>
        <w:pBdr>
          <w:top w:val="single" w:sz="4" w:space="1" w:color="auto"/>
          <w:left w:val="single" w:sz="4" w:space="4" w:color="auto"/>
          <w:bottom w:val="single" w:sz="4" w:space="1" w:color="auto"/>
          <w:right w:val="single" w:sz="4" w:space="4" w:color="auto"/>
        </w:pBdr>
      </w:pPr>
      <w:r>
        <w:t xml:space="preserve">Avant même cette décision, seules 38 % des femmes âgées de 13 ans à 44 ans vivaient dans un État leur permettant d’avorter. </w:t>
      </w:r>
    </w:p>
    <w:p w14:paraId="7CAC9C50" w14:textId="77777777" w:rsidR="000F3D3A" w:rsidRDefault="000F3D3A" w:rsidP="006854B0">
      <w:pPr>
        <w:pStyle w:val="assnatloitexte"/>
        <w:pBdr>
          <w:top w:val="single" w:sz="4" w:space="1" w:color="auto"/>
          <w:left w:val="single" w:sz="4" w:space="4" w:color="auto"/>
          <w:bottom w:val="single" w:sz="4" w:space="1" w:color="auto"/>
          <w:right w:val="single" w:sz="4" w:space="4" w:color="auto"/>
        </w:pBdr>
      </w:pPr>
      <w:r>
        <w:t xml:space="preserve">Ce retour en arrière insupportable nous force à rappeler le caractère indispensable et inviolable du droit à l’avortement dans notre pays et dans le monde. </w:t>
      </w:r>
    </w:p>
    <w:p w14:paraId="04F5AD17" w14:textId="77777777" w:rsidR="000F3D3A" w:rsidRDefault="000F3D3A" w:rsidP="006854B0">
      <w:pPr>
        <w:pStyle w:val="assnatloitexte"/>
        <w:pBdr>
          <w:top w:val="single" w:sz="4" w:space="1" w:color="auto"/>
          <w:left w:val="single" w:sz="4" w:space="4" w:color="auto"/>
          <w:bottom w:val="single" w:sz="4" w:space="1" w:color="auto"/>
          <w:right w:val="single" w:sz="4" w:space="4" w:color="auto"/>
        </w:pBdr>
      </w:pPr>
      <w:r>
        <w:t xml:space="preserve">D’après l’Organisation mondiale de la santé (OMS), près d’un avortement sur deux était à risque entre 2010 et 2014 et un tiers était pratiqué dans des conditions dangereuses ou très risquées pour la vie des femmes. Une femme meurt par ailleurs toutes les neuf minutes d’un avortement non sécurisé dans le monde. </w:t>
      </w:r>
    </w:p>
    <w:p w14:paraId="5FFE00ED" w14:textId="77777777" w:rsidR="000F3D3A" w:rsidRDefault="000F3D3A" w:rsidP="006854B0">
      <w:pPr>
        <w:pStyle w:val="assnatloitexte"/>
        <w:pBdr>
          <w:top w:val="single" w:sz="4" w:space="1" w:color="auto"/>
          <w:left w:val="single" w:sz="4" w:space="4" w:color="auto"/>
          <w:bottom w:val="single" w:sz="4" w:space="1" w:color="auto"/>
          <w:right w:val="single" w:sz="4" w:space="4" w:color="auto"/>
        </w:pBdr>
      </w:pPr>
      <w:r>
        <w:t>D’après le rapport </w:t>
      </w:r>
      <w:r>
        <w:rPr>
          <w:i/>
          <w:iCs/>
        </w:rPr>
        <w:t>Mon corps m’appartient</w:t>
      </w:r>
      <w:r>
        <w:t xml:space="preserve"> du Fonds des Nations unies pour la population (FNUAP), qui a mesuré l’indice d’autonomie corporelle des femmes âgées de 15 à 49 ans provenant de 57 pays d’Asie, d’Afrique et d’Amérique latine, près d’une femme sur deux ne dispose pas librement de son corps. </w:t>
      </w:r>
    </w:p>
    <w:p w14:paraId="2E767F6E" w14:textId="77777777" w:rsidR="000F3D3A" w:rsidRDefault="000F3D3A" w:rsidP="006854B0">
      <w:pPr>
        <w:pStyle w:val="assnatloitexte"/>
        <w:pBdr>
          <w:top w:val="single" w:sz="4" w:space="1" w:color="auto"/>
          <w:left w:val="single" w:sz="4" w:space="4" w:color="auto"/>
          <w:bottom w:val="single" w:sz="4" w:space="1" w:color="auto"/>
          <w:right w:val="single" w:sz="4" w:space="4" w:color="auto"/>
        </w:pBdr>
      </w:pPr>
      <w:r>
        <w:t xml:space="preserve">Cette proposition de loi constitutionnelle propose par conséquent d’inscrire dans la Constitution l’impossibilité de priver une personne du droit à l’interruption volontaire de grossesse (IVG). Elle s’inscrit dans la lignée des avancées qui n’ont eu de cesse de se succéder dans notre pays et permet de consacrer définitivement l’IVG, afin que nul ne puisse en être privé. </w:t>
      </w:r>
    </w:p>
    <w:p w14:paraId="1303780E" w14:textId="77777777" w:rsidR="000F3D3A" w:rsidRDefault="000F3D3A" w:rsidP="006854B0">
      <w:pPr>
        <w:pStyle w:val="assnatloitexte"/>
        <w:pBdr>
          <w:top w:val="single" w:sz="4" w:space="1" w:color="auto"/>
          <w:left w:val="single" w:sz="4" w:space="4" w:color="auto"/>
          <w:bottom w:val="single" w:sz="4" w:space="1" w:color="auto"/>
          <w:right w:val="single" w:sz="4" w:space="4" w:color="auto"/>
        </w:pBdr>
      </w:pPr>
      <w:r>
        <w:t xml:space="preserve">Le 26 novembre 1974, Simone Veil défendait à l’Assemblée nationale la loi légalisant l’interruption volontaire de grossesse. Pour la première fois, une IVG n’est alors plus interdite et criminalisée. </w:t>
      </w:r>
    </w:p>
    <w:p w14:paraId="07216371" w14:textId="77777777" w:rsidR="000F3D3A" w:rsidRDefault="000F3D3A" w:rsidP="006854B0">
      <w:pPr>
        <w:pStyle w:val="assnatloitexte"/>
        <w:pBdr>
          <w:top w:val="single" w:sz="4" w:space="1" w:color="auto"/>
          <w:left w:val="single" w:sz="4" w:space="4" w:color="auto"/>
          <w:bottom w:val="single" w:sz="4" w:space="1" w:color="auto"/>
          <w:right w:val="single" w:sz="4" w:space="4" w:color="auto"/>
        </w:pBdr>
      </w:pPr>
      <w:r>
        <w:t>Depuis, la France n’a eu de cesse de renforcer son accès. L’IVG est remboursée à partir de 1983. Les mineures peuvent y avoir accès sans autorisation parentale depuis 2001. De nouveaux remboursements ont été prévus depuis le 1</w:t>
      </w:r>
      <w:r>
        <w:rPr>
          <w:sz w:val="19"/>
          <w:szCs w:val="19"/>
          <w:vertAlign w:val="superscript"/>
        </w:rPr>
        <w:t>er</w:t>
      </w:r>
      <w:r>
        <w:t xml:space="preserve"> avril 2016. Le délit d’entrave à l’IVG a été renforcé par la loi du 1</w:t>
      </w:r>
      <w:r>
        <w:rPr>
          <w:sz w:val="19"/>
          <w:szCs w:val="19"/>
          <w:vertAlign w:val="superscript"/>
        </w:rPr>
        <w:t>er</w:t>
      </w:r>
      <w:r>
        <w:t xml:space="preserve"> décembre 2016. </w:t>
      </w:r>
    </w:p>
    <w:p w14:paraId="26F09BED" w14:textId="77777777" w:rsidR="000F3D3A" w:rsidRDefault="000F3D3A" w:rsidP="006854B0">
      <w:pPr>
        <w:pStyle w:val="assnatloitexte"/>
        <w:pBdr>
          <w:top w:val="single" w:sz="4" w:space="1" w:color="auto"/>
          <w:left w:val="single" w:sz="4" w:space="4" w:color="auto"/>
          <w:bottom w:val="single" w:sz="4" w:space="1" w:color="auto"/>
          <w:right w:val="single" w:sz="4" w:space="4" w:color="auto"/>
        </w:pBdr>
      </w:pPr>
      <w:r>
        <w:t>Mais nous savons combien ces droits sont fragiles : des associations et courants politiques s’attaquent en permanence à déconstruire ce droit essentiel comme en témoigne la décision rendue le 24 juin 2022 par la Cour suprême des États</w:t>
      </w:r>
      <w:r>
        <w:noBreakHyphen/>
        <w:t xml:space="preserve">Unis. </w:t>
      </w:r>
    </w:p>
    <w:p w14:paraId="779A9D93" w14:textId="77777777" w:rsidR="000F3D3A" w:rsidRDefault="000F3D3A" w:rsidP="006854B0">
      <w:pPr>
        <w:pStyle w:val="assnatloitexte"/>
        <w:pBdr>
          <w:top w:val="single" w:sz="4" w:space="1" w:color="auto"/>
          <w:left w:val="single" w:sz="4" w:space="4" w:color="auto"/>
          <w:bottom w:val="single" w:sz="4" w:space="1" w:color="auto"/>
          <w:right w:val="single" w:sz="4" w:space="4" w:color="auto"/>
        </w:pBdr>
      </w:pPr>
      <w:r>
        <w:t xml:space="preserve">Le groupe Renaissance avait tenu à renforcer le droit à l’avortement, par une loi du 2 mars 2022, en allongeant le délai légal de l’IVG de douze à quatorze semaines, en augmentant le nombre de professionnels susceptibles de pratiquer l’IVG et en garantissant aux femmes le libre choix de leur méthode d’avortement. </w:t>
      </w:r>
    </w:p>
    <w:p w14:paraId="36AA0D59" w14:textId="7E8A8B7C" w:rsidR="000F3D3A" w:rsidRPr="004E3FA3" w:rsidRDefault="000F3D3A" w:rsidP="004E3FA3">
      <w:pPr>
        <w:pStyle w:val="assnatloitexte"/>
        <w:pBdr>
          <w:top w:val="single" w:sz="4" w:space="1" w:color="auto"/>
          <w:left w:val="single" w:sz="4" w:space="4" w:color="auto"/>
          <w:bottom w:val="single" w:sz="4" w:space="1" w:color="auto"/>
          <w:right w:val="single" w:sz="4" w:space="4" w:color="auto"/>
        </w:pBdr>
      </w:pPr>
      <w:r>
        <w:t xml:space="preserve">Par la présente proposition de loi, nous proposons d’inscrire le droit à l’avortement dans la Constitution afin de s’assurer que, jamais, une personne ne pourra être empêchée d’y avoir recours dans notre pays. </w:t>
      </w:r>
    </w:p>
    <w:p w14:paraId="34CED7CA" w14:textId="77777777" w:rsidR="000F3D3A" w:rsidRPr="000F3D3A" w:rsidRDefault="000F3D3A" w:rsidP="006854B0">
      <w:pPr>
        <w:pStyle w:val="assnat9articlenum"/>
        <w:pBdr>
          <w:top w:val="single" w:sz="4" w:space="1" w:color="auto"/>
          <w:left w:val="single" w:sz="4" w:space="4" w:color="auto"/>
          <w:bottom w:val="single" w:sz="4" w:space="1" w:color="auto"/>
          <w:right w:val="single" w:sz="4" w:space="4" w:color="auto"/>
        </w:pBdr>
        <w:rPr>
          <w:highlight w:val="yellow"/>
        </w:rPr>
      </w:pPr>
      <w:r w:rsidRPr="000F3D3A">
        <w:rPr>
          <w:highlight w:val="yellow"/>
        </w:rPr>
        <w:lastRenderedPageBreak/>
        <w:t xml:space="preserve">Article unique </w:t>
      </w:r>
    </w:p>
    <w:p w14:paraId="7E392CA8" w14:textId="2BD97693" w:rsidR="000F3D3A" w:rsidRPr="000F3D3A" w:rsidRDefault="000F3D3A" w:rsidP="006854B0">
      <w:pPr>
        <w:pStyle w:val="assnatloitexte"/>
        <w:pBdr>
          <w:top w:val="single" w:sz="4" w:space="1" w:color="auto"/>
          <w:left w:val="single" w:sz="4" w:space="4" w:color="auto"/>
          <w:bottom w:val="single" w:sz="4" w:space="1" w:color="auto"/>
          <w:right w:val="single" w:sz="4" w:space="4" w:color="auto"/>
        </w:pBdr>
        <w:rPr>
          <w:highlight w:val="yellow"/>
        </w:rPr>
      </w:pPr>
      <w:r w:rsidRPr="000F3D3A">
        <w:rPr>
          <w:noProof/>
          <w:sz w:val="20"/>
          <w:szCs w:val="20"/>
          <w:highlight w:val="yellow"/>
        </w:rPr>
        <w:drawing>
          <wp:inline distT="0" distB="0" distL="0" distR="0" wp14:anchorId="688B59C7" wp14:editId="6833F20B">
            <wp:extent cx="426085" cy="2838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085" cy="283845"/>
                    </a:xfrm>
                    <a:prstGeom prst="rect">
                      <a:avLst/>
                    </a:prstGeom>
                    <a:noFill/>
                    <a:ln>
                      <a:noFill/>
                    </a:ln>
                  </pic:spPr>
                </pic:pic>
              </a:graphicData>
            </a:graphic>
          </wp:inline>
        </w:drawing>
      </w:r>
      <w:r w:rsidRPr="000F3D3A">
        <w:rPr>
          <w:highlight w:val="yellow"/>
        </w:rPr>
        <w:t>Le titre VIII de la Constitution est complété par un article 66</w:t>
      </w:r>
      <w:r w:rsidRPr="000F3D3A">
        <w:rPr>
          <w:highlight w:val="yellow"/>
        </w:rPr>
        <w:noBreakHyphen/>
        <w:t xml:space="preserve">2 ainsi rédigé : </w:t>
      </w:r>
    </w:p>
    <w:p w14:paraId="42EB6794" w14:textId="3571CF59" w:rsidR="006854B0" w:rsidRPr="00927A9C" w:rsidRDefault="000F3D3A" w:rsidP="00927A9C">
      <w:pPr>
        <w:pStyle w:val="assnatloitexte"/>
        <w:pBdr>
          <w:top w:val="single" w:sz="4" w:space="1" w:color="auto"/>
          <w:left w:val="single" w:sz="4" w:space="4" w:color="auto"/>
          <w:bottom w:val="single" w:sz="4" w:space="1" w:color="auto"/>
          <w:right w:val="single" w:sz="4" w:space="4" w:color="auto"/>
        </w:pBdr>
      </w:pPr>
      <w:r w:rsidRPr="000F3D3A">
        <w:rPr>
          <w:noProof/>
          <w:sz w:val="20"/>
          <w:szCs w:val="20"/>
          <w:highlight w:val="yellow"/>
        </w:rPr>
        <w:drawing>
          <wp:inline distT="0" distB="0" distL="0" distR="0" wp14:anchorId="45000554" wp14:editId="488BF814">
            <wp:extent cx="426085" cy="28384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085" cy="283845"/>
                    </a:xfrm>
                    <a:prstGeom prst="rect">
                      <a:avLst/>
                    </a:prstGeom>
                    <a:noFill/>
                    <a:ln>
                      <a:noFill/>
                    </a:ln>
                  </pic:spPr>
                </pic:pic>
              </a:graphicData>
            </a:graphic>
          </wp:inline>
        </w:drawing>
      </w:r>
      <w:r w:rsidRPr="000F3D3A">
        <w:rPr>
          <w:highlight w:val="yellow"/>
        </w:rPr>
        <w:t>« </w:t>
      </w:r>
      <w:r w:rsidRPr="000F3D3A">
        <w:rPr>
          <w:i/>
          <w:iCs/>
          <w:highlight w:val="yellow"/>
        </w:rPr>
        <w:t>Art. 66</w:t>
      </w:r>
      <w:r w:rsidRPr="000F3D3A">
        <w:rPr>
          <w:i/>
          <w:iCs/>
          <w:highlight w:val="yellow"/>
        </w:rPr>
        <w:noBreakHyphen/>
        <w:t>2</w:t>
      </w:r>
      <w:r w:rsidRPr="000F3D3A">
        <w:rPr>
          <w:highlight w:val="yellow"/>
        </w:rPr>
        <w:t>. – Nul ne peut être privé du droit à l’interruption volontaire de grossesse. »</w:t>
      </w:r>
      <w:r>
        <w:t xml:space="preserve"> </w:t>
      </w:r>
    </w:p>
    <w:p w14:paraId="62B9506D" w14:textId="26FC7D71" w:rsidR="00C14789" w:rsidRPr="005A285E" w:rsidRDefault="00FA08BD" w:rsidP="006854B0">
      <w:pPr>
        <w:pStyle w:val="NormalWeb"/>
        <w:pBdr>
          <w:top w:val="single" w:sz="4" w:space="1" w:color="auto"/>
          <w:left w:val="single" w:sz="4" w:space="4" w:color="auto"/>
          <w:bottom w:val="single" w:sz="4" w:space="1" w:color="auto"/>
          <w:right w:val="single" w:sz="4" w:space="4" w:color="auto"/>
        </w:pBdr>
        <w:spacing w:before="600" w:beforeAutospacing="0" w:after="720" w:afterAutospacing="0"/>
        <w:rPr>
          <w:sz w:val="28"/>
          <w:szCs w:val="28"/>
        </w:rPr>
      </w:pPr>
      <w:r w:rsidRPr="005A285E">
        <w:rPr>
          <w:sz w:val="28"/>
          <w:szCs w:val="28"/>
          <w:highlight w:val="cyan"/>
        </w:rPr>
        <w:t xml:space="preserve">Document 2 : </w:t>
      </w:r>
      <w:r w:rsidR="000948D7" w:rsidRPr="005A285E">
        <w:rPr>
          <w:sz w:val="28"/>
          <w:szCs w:val="28"/>
          <w:highlight w:val="cyan"/>
        </w:rPr>
        <w:t xml:space="preserve">Proposition de loi constitutionnelle visant à inscrire le droit à l’interruption volontaire de grossesse dans la Constitution </w:t>
      </w:r>
      <w:r w:rsidRPr="005A285E">
        <w:rPr>
          <w:sz w:val="28"/>
          <w:szCs w:val="28"/>
          <w:highlight w:val="cyan"/>
        </w:rPr>
        <w:t>déposée au Sénat</w:t>
      </w:r>
      <w:r w:rsidR="001D39FC" w:rsidRPr="005A285E">
        <w:rPr>
          <w:sz w:val="28"/>
          <w:szCs w:val="28"/>
          <w:highlight w:val="cyan"/>
        </w:rPr>
        <w:t>, déposée le 27 juin au Sénat</w:t>
      </w:r>
      <w:r w:rsidR="00C14789">
        <w:rPr>
          <w:sz w:val="28"/>
          <w:szCs w:val="28"/>
        </w:rPr>
        <w:t xml:space="preserve"> : </w:t>
      </w:r>
      <w:hyperlink r:id="rId11" w:history="1">
        <w:r w:rsidR="00C14789" w:rsidRPr="0066124F">
          <w:rPr>
            <w:rStyle w:val="Lienhypertexte"/>
            <w:sz w:val="28"/>
            <w:szCs w:val="28"/>
          </w:rPr>
          <w:t>http://www.senat.fr/leg/ppl21-736.html</w:t>
        </w:r>
      </w:hyperlink>
    </w:p>
    <w:p w14:paraId="4B9BBEE3" w14:textId="77777777" w:rsidR="006854B0" w:rsidRDefault="006854B0" w:rsidP="006854B0">
      <w:pPr>
        <w:pStyle w:val="NormalWeb"/>
        <w:pBdr>
          <w:top w:val="single" w:sz="4" w:space="1" w:color="auto"/>
          <w:left w:val="single" w:sz="4" w:space="4" w:color="auto"/>
          <w:bottom w:val="single" w:sz="4" w:space="1" w:color="auto"/>
          <w:right w:val="single" w:sz="4" w:space="4" w:color="auto"/>
        </w:pBdr>
        <w:spacing w:before="600" w:beforeAutospacing="0" w:after="720" w:afterAutospacing="0"/>
        <w:rPr>
          <w:sz w:val="20"/>
          <w:szCs w:val="20"/>
        </w:rPr>
      </w:pPr>
      <w:r>
        <w:rPr>
          <w:sz w:val="20"/>
          <w:szCs w:val="20"/>
        </w:rPr>
        <w:t xml:space="preserve">Lien vers l’exposé des motifs : </w:t>
      </w:r>
      <w:hyperlink r:id="rId12" w:history="1">
        <w:r w:rsidRPr="006854B0">
          <w:rPr>
            <w:rStyle w:val="Lienhypertexte"/>
            <w:sz w:val="20"/>
            <w:szCs w:val="20"/>
          </w:rPr>
          <w:t>http://www.senat.fr/leg/ppl21-736.pdf</w:t>
        </w:r>
      </w:hyperlink>
    </w:p>
    <w:p w14:paraId="2B92AC35" w14:textId="0415C5A0" w:rsidR="000D603B" w:rsidRPr="006854B0" w:rsidRDefault="000D603B" w:rsidP="006854B0">
      <w:pPr>
        <w:pStyle w:val="NormalWeb"/>
        <w:pBdr>
          <w:top w:val="single" w:sz="4" w:space="1" w:color="auto"/>
          <w:left w:val="single" w:sz="4" w:space="4" w:color="auto"/>
          <w:bottom w:val="single" w:sz="4" w:space="1" w:color="auto"/>
          <w:right w:val="single" w:sz="4" w:space="4" w:color="auto"/>
        </w:pBdr>
        <w:spacing w:before="600" w:beforeAutospacing="0" w:after="720" w:afterAutospacing="0"/>
        <w:rPr>
          <w:rStyle w:val="markedcontent"/>
          <w:sz w:val="20"/>
          <w:szCs w:val="20"/>
        </w:rPr>
      </w:pPr>
      <w:proofErr w:type="gramStart"/>
      <w:r>
        <w:rPr>
          <w:sz w:val="20"/>
          <w:szCs w:val="20"/>
        </w:rPr>
        <w:t>Extrait  de</w:t>
      </w:r>
      <w:proofErr w:type="gramEnd"/>
      <w:r>
        <w:rPr>
          <w:sz w:val="20"/>
          <w:szCs w:val="20"/>
        </w:rPr>
        <w:t xml:space="preserve"> l’exposé des motifs</w:t>
      </w:r>
      <w:r w:rsidR="000948D7">
        <w:rPr>
          <w:sz w:val="20"/>
          <w:szCs w:val="20"/>
        </w:rPr>
        <w:t xml:space="preserve"> : </w:t>
      </w:r>
      <w:r w:rsidR="006854B0" w:rsidRPr="00927A9C">
        <w:rPr>
          <w:b/>
          <w:bCs/>
          <w:sz w:val="20"/>
          <w:szCs w:val="20"/>
        </w:rPr>
        <w:t>« Il s’agit par la présente proposition de loi d’en faire un principe fondamental en l’inscrivant expressément à l’article 34 de la Constitution. »</w:t>
      </w:r>
    </w:p>
    <w:p w14:paraId="50121E50" w14:textId="77777777" w:rsidR="000948D7" w:rsidRPr="000948D7" w:rsidRDefault="000948D7" w:rsidP="006854B0">
      <w:pPr>
        <w:pStyle w:val="NormalWeb"/>
        <w:pBdr>
          <w:top w:val="single" w:sz="4" w:space="1" w:color="auto"/>
          <w:left w:val="single" w:sz="4" w:space="4" w:color="auto"/>
          <w:bottom w:val="single" w:sz="4" w:space="1" w:color="auto"/>
          <w:right w:val="single" w:sz="4" w:space="4" w:color="auto"/>
        </w:pBdr>
        <w:spacing w:before="600" w:after="720"/>
        <w:rPr>
          <w:sz w:val="20"/>
          <w:szCs w:val="20"/>
          <w:highlight w:val="yellow"/>
        </w:rPr>
      </w:pPr>
      <w:r w:rsidRPr="000948D7">
        <w:rPr>
          <w:sz w:val="20"/>
          <w:szCs w:val="20"/>
        </w:rPr>
        <w:tab/>
      </w:r>
      <w:r w:rsidRPr="000948D7">
        <w:rPr>
          <w:sz w:val="20"/>
          <w:szCs w:val="20"/>
          <w:highlight w:val="yellow"/>
        </w:rPr>
        <w:t xml:space="preserve">Article unique </w:t>
      </w:r>
    </w:p>
    <w:p w14:paraId="7D0EDA1A" w14:textId="0DAD04F2" w:rsidR="000948D7" w:rsidRPr="000948D7" w:rsidRDefault="000948D7" w:rsidP="006854B0">
      <w:pPr>
        <w:pStyle w:val="NormalWeb"/>
        <w:pBdr>
          <w:top w:val="single" w:sz="4" w:space="1" w:color="auto"/>
          <w:left w:val="single" w:sz="4" w:space="4" w:color="auto"/>
          <w:bottom w:val="single" w:sz="4" w:space="1" w:color="auto"/>
          <w:right w:val="single" w:sz="4" w:space="4" w:color="auto"/>
        </w:pBdr>
        <w:spacing w:before="600" w:after="720"/>
        <w:rPr>
          <w:sz w:val="20"/>
          <w:szCs w:val="20"/>
          <w:highlight w:val="yellow"/>
        </w:rPr>
      </w:pPr>
      <w:r w:rsidRPr="000948D7">
        <w:rPr>
          <w:sz w:val="20"/>
          <w:szCs w:val="20"/>
          <w:highlight w:val="yellow"/>
        </w:rPr>
        <w:t xml:space="preserve">Après le dix-septième alinéa de l’article 34 de la Constitution, il est inséré un alinéa ainsi rédigé : </w:t>
      </w:r>
    </w:p>
    <w:p w14:paraId="063C98C5" w14:textId="6A2C5ED3" w:rsidR="006854B0" w:rsidRPr="00927A9C" w:rsidRDefault="000948D7" w:rsidP="00927A9C">
      <w:pPr>
        <w:pStyle w:val="NormalWeb"/>
        <w:pBdr>
          <w:top w:val="single" w:sz="4" w:space="1" w:color="auto"/>
          <w:left w:val="single" w:sz="4" w:space="4" w:color="auto"/>
          <w:bottom w:val="single" w:sz="4" w:space="1" w:color="auto"/>
          <w:right w:val="single" w:sz="4" w:space="4" w:color="auto"/>
        </w:pBdr>
        <w:spacing w:before="600" w:after="720"/>
        <w:rPr>
          <w:sz w:val="20"/>
          <w:szCs w:val="20"/>
        </w:rPr>
      </w:pPr>
      <w:r w:rsidRPr="000948D7">
        <w:rPr>
          <w:sz w:val="20"/>
          <w:szCs w:val="20"/>
          <w:highlight w:val="yellow"/>
        </w:rPr>
        <w:tab/>
        <w:t>« – de la mise en œuvre du droit à l’interruption volontaire de grossesse. »</w:t>
      </w:r>
    </w:p>
    <w:p w14:paraId="46B22FA9" w14:textId="77777777" w:rsidR="006854B0" w:rsidRPr="005A285E" w:rsidRDefault="006854B0" w:rsidP="000948D7">
      <w:pPr>
        <w:pBdr>
          <w:top w:val="single" w:sz="4" w:space="1" w:color="auto"/>
          <w:left w:val="single" w:sz="4" w:space="4" w:color="auto"/>
          <w:bottom w:val="single" w:sz="4" w:space="1" w:color="auto"/>
          <w:right w:val="single" w:sz="4" w:space="4" w:color="auto"/>
        </w:pBdr>
        <w:rPr>
          <w:sz w:val="28"/>
          <w:szCs w:val="28"/>
        </w:rPr>
      </w:pPr>
    </w:p>
    <w:p w14:paraId="10F89688" w14:textId="7E085148" w:rsidR="007C69A2" w:rsidRPr="005A285E" w:rsidRDefault="007C69A2" w:rsidP="000948D7">
      <w:pPr>
        <w:pBdr>
          <w:top w:val="single" w:sz="4" w:space="1" w:color="auto"/>
          <w:left w:val="single" w:sz="4" w:space="4" w:color="auto"/>
          <w:bottom w:val="single" w:sz="4" w:space="1" w:color="auto"/>
          <w:right w:val="single" w:sz="4" w:space="4" w:color="auto"/>
        </w:pBdr>
        <w:rPr>
          <w:sz w:val="28"/>
          <w:szCs w:val="28"/>
          <w:highlight w:val="cyan"/>
        </w:rPr>
      </w:pPr>
      <w:r w:rsidRPr="005A285E">
        <w:rPr>
          <w:sz w:val="28"/>
          <w:szCs w:val="28"/>
          <w:highlight w:val="cyan"/>
        </w:rPr>
        <w:t>Document 3</w:t>
      </w:r>
      <w:r w:rsidR="00465E1B" w:rsidRPr="005A285E">
        <w:rPr>
          <w:sz w:val="28"/>
          <w:szCs w:val="28"/>
          <w:highlight w:val="cyan"/>
        </w:rPr>
        <w:t> : proposition de loi constitutionnelle pour</w:t>
      </w:r>
      <w:r w:rsidR="00D44F52" w:rsidRPr="005A285E">
        <w:rPr>
          <w:sz w:val="28"/>
          <w:szCs w:val="28"/>
          <w:highlight w:val="cyan"/>
        </w:rPr>
        <w:t xml:space="preserve"> </w:t>
      </w:r>
      <w:r w:rsidR="00465E1B" w:rsidRPr="005A285E">
        <w:rPr>
          <w:sz w:val="28"/>
          <w:szCs w:val="28"/>
          <w:highlight w:val="cyan"/>
        </w:rPr>
        <w:t xml:space="preserve">garantir dans la Constitution le droit à l'interruption volontaire de grossesse et à la contraception. </w:t>
      </w:r>
    </w:p>
    <w:p w14:paraId="61BA2AE7" w14:textId="27B95284" w:rsidR="00465E1B" w:rsidRPr="005A285E" w:rsidRDefault="00465E1B" w:rsidP="000948D7">
      <w:pPr>
        <w:pBdr>
          <w:top w:val="single" w:sz="4" w:space="1" w:color="auto"/>
          <w:left w:val="single" w:sz="4" w:space="4" w:color="auto"/>
          <w:bottom w:val="single" w:sz="4" w:space="1" w:color="auto"/>
          <w:right w:val="single" w:sz="4" w:space="4" w:color="auto"/>
        </w:pBdr>
        <w:rPr>
          <w:sz w:val="28"/>
          <w:szCs w:val="28"/>
        </w:rPr>
      </w:pPr>
      <w:r w:rsidRPr="005A285E">
        <w:rPr>
          <w:sz w:val="28"/>
          <w:szCs w:val="28"/>
          <w:highlight w:val="cyan"/>
        </w:rPr>
        <w:t>Déposée au Sénat le 2 aout 2022</w:t>
      </w:r>
    </w:p>
    <w:p w14:paraId="06921E0F" w14:textId="2E97DE8C" w:rsidR="007C69A2" w:rsidRDefault="007C69A2" w:rsidP="000948D7">
      <w:pPr>
        <w:pBdr>
          <w:top w:val="single" w:sz="4" w:space="1" w:color="auto"/>
          <w:left w:val="single" w:sz="4" w:space="4" w:color="auto"/>
          <w:bottom w:val="single" w:sz="4" w:space="1" w:color="auto"/>
          <w:right w:val="single" w:sz="4" w:space="4" w:color="auto"/>
        </w:pBdr>
      </w:pPr>
    </w:p>
    <w:p w14:paraId="343236D0" w14:textId="7A350615" w:rsidR="00465E1B" w:rsidRDefault="00C14789" w:rsidP="000948D7">
      <w:pPr>
        <w:pBdr>
          <w:top w:val="single" w:sz="4" w:space="1" w:color="auto"/>
          <w:left w:val="single" w:sz="4" w:space="4" w:color="auto"/>
          <w:bottom w:val="single" w:sz="4" w:space="1" w:color="auto"/>
          <w:right w:val="single" w:sz="4" w:space="4" w:color="auto"/>
        </w:pBdr>
      </w:pPr>
      <w:hyperlink r:id="rId13" w:history="1">
        <w:r w:rsidRPr="0066124F">
          <w:rPr>
            <w:rStyle w:val="Lienhypertexte"/>
          </w:rPr>
          <w:t>http://www.senat.fr/leg/ppl21-853.html</w:t>
        </w:r>
      </w:hyperlink>
    </w:p>
    <w:p w14:paraId="4BE76BDC" w14:textId="77777777" w:rsidR="00C14789" w:rsidRDefault="00C14789" w:rsidP="000948D7">
      <w:pPr>
        <w:pBdr>
          <w:top w:val="single" w:sz="4" w:space="1" w:color="auto"/>
          <w:left w:val="single" w:sz="4" w:space="4" w:color="auto"/>
          <w:bottom w:val="single" w:sz="4" w:space="1" w:color="auto"/>
          <w:right w:val="single" w:sz="4" w:space="4" w:color="auto"/>
        </w:pBdr>
      </w:pPr>
    </w:p>
    <w:p w14:paraId="789DCF6A" w14:textId="6030F5FA" w:rsidR="00465E1B" w:rsidRDefault="00465E1B" w:rsidP="000948D7">
      <w:pPr>
        <w:pBdr>
          <w:top w:val="single" w:sz="4" w:space="1" w:color="auto"/>
          <w:left w:val="single" w:sz="4" w:space="4" w:color="auto"/>
          <w:bottom w:val="single" w:sz="4" w:space="1" w:color="auto"/>
          <w:right w:val="single" w:sz="4" w:space="4" w:color="auto"/>
        </w:pBdr>
      </w:pPr>
      <w:r>
        <w:t>Extrait de la proposition</w:t>
      </w:r>
    </w:p>
    <w:p w14:paraId="62989508" w14:textId="6504CFFC" w:rsidR="00465E1B" w:rsidRDefault="00465E1B" w:rsidP="000948D7">
      <w:pPr>
        <w:pBdr>
          <w:top w:val="single" w:sz="4" w:space="1" w:color="auto"/>
          <w:left w:val="single" w:sz="4" w:space="4" w:color="auto"/>
          <w:bottom w:val="single" w:sz="4" w:space="1" w:color="auto"/>
          <w:right w:val="single" w:sz="4" w:space="4" w:color="auto"/>
        </w:pBdr>
      </w:pPr>
    </w:p>
    <w:p w14:paraId="2F4FA078" w14:textId="77777777" w:rsidR="000948D7" w:rsidRPr="000948D7" w:rsidRDefault="000948D7" w:rsidP="000948D7">
      <w:pPr>
        <w:pBdr>
          <w:top w:val="single" w:sz="4" w:space="1" w:color="auto"/>
          <w:left w:val="single" w:sz="4" w:space="4" w:color="auto"/>
          <w:bottom w:val="single" w:sz="4" w:space="1" w:color="auto"/>
          <w:right w:val="single" w:sz="4" w:space="4" w:color="auto"/>
        </w:pBdr>
        <w:rPr>
          <w:highlight w:val="yellow"/>
        </w:rPr>
      </w:pPr>
      <w:r>
        <w:tab/>
      </w:r>
      <w:r w:rsidRPr="000948D7">
        <w:rPr>
          <w:highlight w:val="yellow"/>
        </w:rPr>
        <w:t xml:space="preserve">Article unique </w:t>
      </w:r>
    </w:p>
    <w:p w14:paraId="56E13D03" w14:textId="162D8F1A" w:rsidR="000948D7" w:rsidRPr="000948D7" w:rsidRDefault="000948D7" w:rsidP="000948D7">
      <w:pPr>
        <w:pBdr>
          <w:top w:val="single" w:sz="4" w:space="1" w:color="auto"/>
          <w:left w:val="single" w:sz="4" w:space="4" w:color="auto"/>
          <w:bottom w:val="single" w:sz="4" w:space="1" w:color="auto"/>
          <w:right w:val="single" w:sz="4" w:space="4" w:color="auto"/>
        </w:pBdr>
        <w:rPr>
          <w:highlight w:val="yellow"/>
        </w:rPr>
      </w:pPr>
      <w:r w:rsidRPr="000948D7">
        <w:rPr>
          <w:highlight w:val="yellow"/>
        </w:rPr>
        <w:tab/>
      </w:r>
    </w:p>
    <w:p w14:paraId="19EE8ECF" w14:textId="77777777" w:rsidR="000948D7" w:rsidRPr="000948D7" w:rsidRDefault="000948D7" w:rsidP="000948D7">
      <w:pPr>
        <w:pBdr>
          <w:top w:val="single" w:sz="4" w:space="1" w:color="auto"/>
          <w:left w:val="single" w:sz="4" w:space="4" w:color="auto"/>
          <w:bottom w:val="single" w:sz="4" w:space="1" w:color="auto"/>
          <w:right w:val="single" w:sz="4" w:space="4" w:color="auto"/>
        </w:pBdr>
        <w:rPr>
          <w:highlight w:val="yellow"/>
        </w:rPr>
      </w:pPr>
      <w:r w:rsidRPr="000948D7">
        <w:rPr>
          <w:highlight w:val="yellow"/>
        </w:rPr>
        <w:tab/>
        <w:t xml:space="preserve">L’article 1er de la Constitution est complété par deux alinéas ainsi rédigés : </w:t>
      </w:r>
    </w:p>
    <w:p w14:paraId="65032E70" w14:textId="6CD79523" w:rsidR="000948D7" w:rsidRPr="000948D7" w:rsidRDefault="000948D7" w:rsidP="000948D7">
      <w:pPr>
        <w:pBdr>
          <w:top w:val="single" w:sz="4" w:space="1" w:color="auto"/>
          <w:left w:val="single" w:sz="4" w:space="4" w:color="auto"/>
          <w:bottom w:val="single" w:sz="4" w:space="1" w:color="auto"/>
          <w:right w:val="single" w:sz="4" w:space="4" w:color="auto"/>
        </w:pBdr>
        <w:rPr>
          <w:highlight w:val="yellow"/>
        </w:rPr>
      </w:pPr>
      <w:r w:rsidRPr="000948D7">
        <w:rPr>
          <w:highlight w:val="yellow"/>
        </w:rPr>
        <w:tab/>
      </w:r>
    </w:p>
    <w:p w14:paraId="46197CA4" w14:textId="77777777" w:rsidR="000948D7" w:rsidRPr="000948D7" w:rsidRDefault="000948D7" w:rsidP="000948D7">
      <w:pPr>
        <w:pBdr>
          <w:top w:val="single" w:sz="4" w:space="1" w:color="auto"/>
          <w:left w:val="single" w:sz="4" w:space="4" w:color="auto"/>
          <w:bottom w:val="single" w:sz="4" w:space="1" w:color="auto"/>
          <w:right w:val="single" w:sz="4" w:space="4" w:color="auto"/>
        </w:pBdr>
        <w:rPr>
          <w:highlight w:val="yellow"/>
        </w:rPr>
      </w:pPr>
      <w:r w:rsidRPr="000948D7">
        <w:rPr>
          <w:highlight w:val="yellow"/>
        </w:rPr>
        <w:tab/>
        <w:t xml:space="preserve">« La loi garantit l’autonomie décisionnelle en matière reproductive ainsi que l’accès aux soins et aux services de santé. </w:t>
      </w:r>
    </w:p>
    <w:p w14:paraId="6663192B" w14:textId="25813E80" w:rsidR="000948D7" w:rsidRPr="000948D7" w:rsidRDefault="000948D7" w:rsidP="000948D7">
      <w:pPr>
        <w:pBdr>
          <w:top w:val="single" w:sz="4" w:space="1" w:color="auto"/>
          <w:left w:val="single" w:sz="4" w:space="4" w:color="auto"/>
          <w:bottom w:val="single" w:sz="4" w:space="1" w:color="auto"/>
          <w:right w:val="single" w:sz="4" w:space="4" w:color="auto"/>
        </w:pBdr>
        <w:rPr>
          <w:highlight w:val="yellow"/>
        </w:rPr>
      </w:pPr>
      <w:r w:rsidRPr="000948D7">
        <w:rPr>
          <w:highlight w:val="yellow"/>
        </w:rPr>
        <w:tab/>
      </w:r>
    </w:p>
    <w:p w14:paraId="04ABDEC7" w14:textId="04D965C6" w:rsidR="000948D7" w:rsidRDefault="000948D7" w:rsidP="000948D7">
      <w:pPr>
        <w:pBdr>
          <w:top w:val="single" w:sz="4" w:space="1" w:color="auto"/>
          <w:left w:val="single" w:sz="4" w:space="4" w:color="auto"/>
          <w:bottom w:val="single" w:sz="4" w:space="1" w:color="auto"/>
          <w:right w:val="single" w:sz="4" w:space="4" w:color="auto"/>
        </w:pBdr>
      </w:pPr>
      <w:r w:rsidRPr="000948D7">
        <w:rPr>
          <w:highlight w:val="yellow"/>
        </w:rPr>
        <w:t>« Toute personne a droit à une contraception adaptée et à un accès universel, inconditionnel et gratuit à l’interruption volontaire de grossesse, dans un délai qui ne peut être inférieur à quatorze semaines d’aménorrhée. »</w:t>
      </w:r>
    </w:p>
    <w:p w14:paraId="232206E5" w14:textId="6B6F3EDE" w:rsidR="000948D7" w:rsidRDefault="000948D7" w:rsidP="000948D7"/>
    <w:p w14:paraId="25CBCABE" w14:textId="77777777" w:rsidR="000948D7" w:rsidRPr="00CA0146" w:rsidRDefault="000948D7" w:rsidP="00CA0146">
      <w:pPr>
        <w:pBdr>
          <w:top w:val="single" w:sz="4" w:space="1" w:color="auto"/>
          <w:left w:val="single" w:sz="4" w:space="4" w:color="auto"/>
          <w:bottom w:val="single" w:sz="4" w:space="1" w:color="auto"/>
          <w:right w:val="single" w:sz="4" w:space="4" w:color="auto"/>
        </w:pBdr>
        <w:rPr>
          <w:color w:val="4472C4" w:themeColor="accent1"/>
        </w:rPr>
      </w:pPr>
    </w:p>
    <w:p w14:paraId="2BC28DB8" w14:textId="2852020E" w:rsidR="002F3581" w:rsidRPr="00CA0146" w:rsidRDefault="002F3581" w:rsidP="00CA0146">
      <w:pPr>
        <w:pBdr>
          <w:top w:val="single" w:sz="4" w:space="1" w:color="auto"/>
          <w:left w:val="single" w:sz="4" w:space="4" w:color="auto"/>
          <w:bottom w:val="single" w:sz="4" w:space="1" w:color="auto"/>
          <w:right w:val="single" w:sz="4" w:space="4" w:color="auto"/>
        </w:pBdr>
        <w:rPr>
          <w:b/>
          <w:bCs/>
          <w:color w:val="4472C4" w:themeColor="accent1"/>
        </w:rPr>
      </w:pPr>
      <w:r w:rsidRPr="00CA0146">
        <w:rPr>
          <w:b/>
          <w:bCs/>
          <w:color w:val="4472C4" w:themeColor="accent1"/>
        </w:rPr>
        <w:t>Mise en activité</w:t>
      </w:r>
    </w:p>
    <w:p w14:paraId="16F52AED" w14:textId="44BB6510" w:rsidR="003D4171" w:rsidRPr="003D4171" w:rsidRDefault="003D4171" w:rsidP="003D4171">
      <w:pPr>
        <w:pBdr>
          <w:top w:val="single" w:sz="4" w:space="1" w:color="auto"/>
          <w:left w:val="single" w:sz="4" w:space="4" w:color="auto"/>
          <w:bottom w:val="single" w:sz="4" w:space="1" w:color="auto"/>
          <w:right w:val="single" w:sz="4" w:space="4" w:color="auto"/>
        </w:pBdr>
        <w:rPr>
          <w:color w:val="4472C4" w:themeColor="accent1"/>
        </w:rPr>
      </w:pPr>
      <w:r w:rsidRPr="003D4171">
        <w:rPr>
          <w:color w:val="4472C4" w:themeColor="accent1"/>
        </w:rPr>
        <w:t>1.</w:t>
      </w:r>
      <w:r>
        <w:rPr>
          <w:color w:val="4472C4" w:themeColor="accent1"/>
        </w:rPr>
        <w:t xml:space="preserve"> </w:t>
      </w:r>
      <w:r w:rsidRPr="003D4171">
        <w:rPr>
          <w:color w:val="4472C4" w:themeColor="accent1"/>
        </w:rPr>
        <w:t xml:space="preserve">Quels </w:t>
      </w:r>
      <w:r>
        <w:rPr>
          <w:color w:val="4472C4" w:themeColor="accent1"/>
        </w:rPr>
        <w:t xml:space="preserve">sont les </w:t>
      </w:r>
      <w:r w:rsidRPr="003D4171">
        <w:rPr>
          <w:color w:val="4472C4" w:themeColor="accent1"/>
        </w:rPr>
        <w:t>arguments</w:t>
      </w:r>
      <w:r>
        <w:rPr>
          <w:color w:val="4472C4" w:themeColor="accent1"/>
        </w:rPr>
        <w:t xml:space="preserve"> communs </w:t>
      </w:r>
      <w:r w:rsidR="00A75EC8">
        <w:rPr>
          <w:color w:val="4472C4" w:themeColor="accent1"/>
        </w:rPr>
        <w:t>aux députés</w:t>
      </w:r>
      <w:r>
        <w:rPr>
          <w:color w:val="4472C4" w:themeColor="accent1"/>
        </w:rPr>
        <w:t xml:space="preserve"> et sénateurs déposant une proposition de loi en faveur de l’inscription </w:t>
      </w:r>
      <w:r w:rsidR="00F351AD">
        <w:rPr>
          <w:color w:val="4472C4" w:themeColor="accent1"/>
        </w:rPr>
        <w:t>dans la</w:t>
      </w:r>
      <w:r>
        <w:rPr>
          <w:color w:val="4472C4" w:themeColor="accent1"/>
        </w:rPr>
        <w:t xml:space="preserve"> constitution du droit à l’IVG ? </w:t>
      </w:r>
      <w:proofErr w:type="gramStart"/>
      <w:r>
        <w:rPr>
          <w:color w:val="4472C4" w:themeColor="accent1"/>
        </w:rPr>
        <w:t>( bien</w:t>
      </w:r>
      <w:proofErr w:type="gramEnd"/>
      <w:r>
        <w:rPr>
          <w:color w:val="4472C4" w:themeColor="accent1"/>
        </w:rPr>
        <w:t xml:space="preserve"> lire les exposés des motifs)</w:t>
      </w:r>
    </w:p>
    <w:p w14:paraId="02D4B11C" w14:textId="77777777" w:rsidR="003D4171" w:rsidRDefault="003D4171" w:rsidP="00CA0146">
      <w:pPr>
        <w:pBdr>
          <w:top w:val="single" w:sz="4" w:space="1" w:color="auto"/>
          <w:left w:val="single" w:sz="4" w:space="4" w:color="auto"/>
          <w:bottom w:val="single" w:sz="4" w:space="1" w:color="auto"/>
          <w:right w:val="single" w:sz="4" w:space="4" w:color="auto"/>
        </w:pBdr>
        <w:rPr>
          <w:color w:val="4472C4" w:themeColor="accent1"/>
        </w:rPr>
      </w:pPr>
    </w:p>
    <w:p w14:paraId="4085A0E5" w14:textId="77777777" w:rsidR="003D4171" w:rsidRDefault="003D4171" w:rsidP="00CA0146">
      <w:pPr>
        <w:pBdr>
          <w:top w:val="single" w:sz="4" w:space="1" w:color="auto"/>
          <w:left w:val="single" w:sz="4" w:space="4" w:color="auto"/>
          <w:bottom w:val="single" w:sz="4" w:space="1" w:color="auto"/>
          <w:right w:val="single" w:sz="4" w:space="4" w:color="auto"/>
        </w:pBdr>
        <w:rPr>
          <w:color w:val="4472C4" w:themeColor="accent1"/>
        </w:rPr>
      </w:pPr>
    </w:p>
    <w:p w14:paraId="6D258D9A" w14:textId="41542D4E" w:rsidR="002F3581" w:rsidRPr="00A75EC8" w:rsidRDefault="00A75EC8" w:rsidP="00A75EC8">
      <w:pPr>
        <w:pBdr>
          <w:top w:val="single" w:sz="4" w:space="1" w:color="auto"/>
          <w:left w:val="single" w:sz="4" w:space="4" w:color="auto"/>
          <w:bottom w:val="single" w:sz="4" w:space="1" w:color="auto"/>
          <w:right w:val="single" w:sz="4" w:space="4" w:color="auto"/>
        </w:pBdr>
        <w:rPr>
          <w:color w:val="4472C4" w:themeColor="accent1"/>
        </w:rPr>
      </w:pPr>
      <w:r w:rsidRPr="00A75EC8">
        <w:rPr>
          <w:color w:val="4472C4" w:themeColor="accent1"/>
        </w:rPr>
        <w:t>2.</w:t>
      </w:r>
      <w:r>
        <w:rPr>
          <w:color w:val="4472C4" w:themeColor="accent1"/>
        </w:rPr>
        <w:t xml:space="preserve"> </w:t>
      </w:r>
      <w:r w:rsidR="002F3581" w:rsidRPr="00A75EC8">
        <w:rPr>
          <w:color w:val="4472C4" w:themeColor="accent1"/>
        </w:rPr>
        <w:t>Aller sur Légifrance et lire :</w:t>
      </w:r>
    </w:p>
    <w:p w14:paraId="6E3B582E" w14:textId="570459CF" w:rsidR="002F3581" w:rsidRPr="00CA0146" w:rsidRDefault="002F3581" w:rsidP="00CA0146">
      <w:pPr>
        <w:pBdr>
          <w:top w:val="single" w:sz="4" w:space="1" w:color="auto"/>
          <w:left w:val="single" w:sz="4" w:space="4" w:color="auto"/>
          <w:bottom w:val="single" w:sz="4" w:space="1" w:color="auto"/>
          <w:right w:val="single" w:sz="4" w:space="4" w:color="auto"/>
        </w:pBdr>
        <w:rPr>
          <w:color w:val="4472C4" w:themeColor="accent1"/>
        </w:rPr>
      </w:pPr>
      <w:r w:rsidRPr="00CA0146">
        <w:rPr>
          <w:color w:val="4472C4" w:themeColor="accent1"/>
        </w:rPr>
        <w:t>L’art 66</w:t>
      </w:r>
      <w:r w:rsidR="007C69A2" w:rsidRPr="00CA0146">
        <w:rPr>
          <w:color w:val="4472C4" w:themeColor="accent1"/>
        </w:rPr>
        <w:t>-1</w:t>
      </w:r>
      <w:r w:rsidRPr="00CA0146">
        <w:rPr>
          <w:color w:val="4472C4" w:themeColor="accent1"/>
        </w:rPr>
        <w:t xml:space="preserve"> de la constitution</w:t>
      </w:r>
      <w:r w:rsidR="007C69A2" w:rsidRPr="00CA0146">
        <w:rPr>
          <w:color w:val="4472C4" w:themeColor="accent1"/>
        </w:rPr>
        <w:t xml:space="preserve"> : </w:t>
      </w:r>
      <w:r w:rsidR="00646B09" w:rsidRPr="00CA0146">
        <w:rPr>
          <w:color w:val="4472C4" w:themeColor="accent1"/>
        </w:rPr>
        <w:t>Que dispose-t-il ?</w:t>
      </w:r>
    </w:p>
    <w:p w14:paraId="63AB96AD" w14:textId="47C6F821" w:rsidR="002F3581" w:rsidRPr="00CA0146" w:rsidRDefault="002F3581" w:rsidP="00CA0146">
      <w:pPr>
        <w:pBdr>
          <w:top w:val="single" w:sz="4" w:space="1" w:color="auto"/>
          <w:left w:val="single" w:sz="4" w:space="4" w:color="auto"/>
          <w:bottom w:val="single" w:sz="4" w:space="1" w:color="auto"/>
          <w:right w:val="single" w:sz="4" w:space="4" w:color="auto"/>
        </w:pBdr>
        <w:rPr>
          <w:color w:val="4472C4" w:themeColor="accent1"/>
        </w:rPr>
      </w:pPr>
      <w:r w:rsidRPr="00CA0146">
        <w:rPr>
          <w:color w:val="4472C4" w:themeColor="accent1"/>
        </w:rPr>
        <w:t>L’art 34 de la constit</w:t>
      </w:r>
      <w:r w:rsidR="007313D9" w:rsidRPr="00CA0146">
        <w:rPr>
          <w:color w:val="4472C4" w:themeColor="accent1"/>
        </w:rPr>
        <w:t>ut</w:t>
      </w:r>
      <w:r w:rsidRPr="00CA0146">
        <w:rPr>
          <w:color w:val="4472C4" w:themeColor="accent1"/>
        </w:rPr>
        <w:t>ion</w:t>
      </w:r>
      <w:r w:rsidR="007C69A2" w:rsidRPr="00CA0146">
        <w:rPr>
          <w:color w:val="4472C4" w:themeColor="accent1"/>
        </w:rPr>
        <w:t xml:space="preserve"> : </w:t>
      </w:r>
      <w:r w:rsidR="00646B09" w:rsidRPr="00CA0146">
        <w:rPr>
          <w:color w:val="4472C4" w:themeColor="accent1"/>
        </w:rPr>
        <w:t>Quel domaine cet article délimite-t-il ?</w:t>
      </w:r>
    </w:p>
    <w:p w14:paraId="7716FEEA" w14:textId="5E444DC5" w:rsidR="007C69A2" w:rsidRDefault="007C69A2" w:rsidP="00CA0146">
      <w:pPr>
        <w:pBdr>
          <w:top w:val="single" w:sz="4" w:space="1" w:color="auto"/>
          <w:left w:val="single" w:sz="4" w:space="4" w:color="auto"/>
          <w:bottom w:val="single" w:sz="4" w:space="1" w:color="auto"/>
          <w:right w:val="single" w:sz="4" w:space="4" w:color="auto"/>
        </w:pBdr>
        <w:rPr>
          <w:color w:val="4472C4" w:themeColor="accent1"/>
        </w:rPr>
      </w:pPr>
      <w:r w:rsidRPr="00CA0146">
        <w:rPr>
          <w:color w:val="4472C4" w:themeColor="accent1"/>
        </w:rPr>
        <w:t>L’article 1</w:t>
      </w:r>
      <w:r w:rsidRPr="00CA0146">
        <w:rPr>
          <w:color w:val="4472C4" w:themeColor="accent1"/>
          <w:vertAlign w:val="superscript"/>
        </w:rPr>
        <w:t>er</w:t>
      </w:r>
      <w:r w:rsidRPr="00CA0146">
        <w:rPr>
          <w:color w:val="4472C4" w:themeColor="accent1"/>
        </w:rPr>
        <w:t xml:space="preserve"> de la Constitution</w:t>
      </w:r>
      <w:r w:rsidR="00B0735D" w:rsidRPr="00CA0146">
        <w:rPr>
          <w:color w:val="4472C4" w:themeColor="accent1"/>
        </w:rPr>
        <w:t> : En quoi une inscription du droit à l’IVG dans l’article 1</w:t>
      </w:r>
      <w:r w:rsidR="00B0735D" w:rsidRPr="00CA0146">
        <w:rPr>
          <w:color w:val="4472C4" w:themeColor="accent1"/>
          <w:vertAlign w:val="superscript"/>
        </w:rPr>
        <w:t>er</w:t>
      </w:r>
      <w:r w:rsidR="00B0735D" w:rsidRPr="00CA0146">
        <w:rPr>
          <w:color w:val="4472C4" w:themeColor="accent1"/>
        </w:rPr>
        <w:t xml:space="preserve"> serait-elle symbolique ? Après quel principe le droit à </w:t>
      </w:r>
      <w:r w:rsidR="00F351AD" w:rsidRPr="00CA0146">
        <w:rPr>
          <w:color w:val="4472C4" w:themeColor="accent1"/>
        </w:rPr>
        <w:t>l’IVG</w:t>
      </w:r>
      <w:r w:rsidR="00B0735D" w:rsidRPr="00CA0146">
        <w:rPr>
          <w:color w:val="4472C4" w:themeColor="accent1"/>
        </w:rPr>
        <w:t xml:space="preserve"> prendrait-il place ? Quelles conséquences en tirer ?</w:t>
      </w:r>
    </w:p>
    <w:p w14:paraId="13E07454" w14:textId="24DB79E8" w:rsidR="00A75EC8" w:rsidRDefault="00A75EC8" w:rsidP="00CA0146">
      <w:pPr>
        <w:pBdr>
          <w:top w:val="single" w:sz="4" w:space="1" w:color="auto"/>
          <w:left w:val="single" w:sz="4" w:space="4" w:color="auto"/>
          <w:bottom w:val="single" w:sz="4" w:space="1" w:color="auto"/>
          <w:right w:val="single" w:sz="4" w:space="4" w:color="auto"/>
        </w:pBdr>
        <w:rPr>
          <w:color w:val="4472C4" w:themeColor="accent1"/>
        </w:rPr>
      </w:pPr>
    </w:p>
    <w:p w14:paraId="12E08663" w14:textId="5A89D0AD" w:rsidR="00A75EC8" w:rsidRPr="00A75EC8" w:rsidRDefault="00A75EC8" w:rsidP="00A75EC8">
      <w:pPr>
        <w:pBdr>
          <w:top w:val="single" w:sz="4" w:space="1" w:color="auto"/>
          <w:left w:val="single" w:sz="4" w:space="4" w:color="auto"/>
          <w:bottom w:val="single" w:sz="4" w:space="1" w:color="auto"/>
          <w:right w:val="single" w:sz="4" w:space="4" w:color="auto"/>
        </w:pBdr>
        <w:rPr>
          <w:color w:val="4472C4" w:themeColor="accent1"/>
        </w:rPr>
      </w:pPr>
      <w:r w:rsidRPr="00A75EC8">
        <w:rPr>
          <w:color w:val="4472C4" w:themeColor="accent1"/>
        </w:rPr>
        <w:t>3.</w:t>
      </w:r>
      <w:r>
        <w:rPr>
          <w:color w:val="4472C4" w:themeColor="accent1"/>
        </w:rPr>
        <w:t xml:space="preserve"> Pourquoi n’y a-t-il pas accord sur l’article dans lequel insérer le droit à l’avortement ?</w:t>
      </w:r>
    </w:p>
    <w:p w14:paraId="17CB1B38" w14:textId="65DFEF0F" w:rsidR="00A210E0" w:rsidRPr="00CA0146" w:rsidRDefault="00A210E0" w:rsidP="00CA0146">
      <w:pPr>
        <w:pBdr>
          <w:top w:val="single" w:sz="4" w:space="1" w:color="auto"/>
          <w:left w:val="single" w:sz="4" w:space="4" w:color="auto"/>
          <w:bottom w:val="single" w:sz="4" w:space="1" w:color="auto"/>
          <w:right w:val="single" w:sz="4" w:space="4" w:color="auto"/>
        </w:pBdr>
        <w:rPr>
          <w:color w:val="4472C4" w:themeColor="accent1"/>
        </w:rPr>
      </w:pPr>
    </w:p>
    <w:p w14:paraId="5AE309BC" w14:textId="77777777" w:rsidR="00A210E0" w:rsidRPr="00CA0146" w:rsidRDefault="00A210E0" w:rsidP="00CA0146">
      <w:pPr>
        <w:pBdr>
          <w:top w:val="single" w:sz="4" w:space="1" w:color="auto"/>
          <w:left w:val="single" w:sz="4" w:space="4" w:color="auto"/>
          <w:bottom w:val="single" w:sz="4" w:space="1" w:color="auto"/>
          <w:right w:val="single" w:sz="4" w:space="4" w:color="auto"/>
        </w:pBdr>
        <w:rPr>
          <w:color w:val="4472C4" w:themeColor="accent1"/>
        </w:rPr>
      </w:pPr>
    </w:p>
    <w:p w14:paraId="228989BC" w14:textId="37D7A51E" w:rsidR="002F3581" w:rsidRDefault="002F3581"/>
    <w:p w14:paraId="58F9EE66" w14:textId="117ECD8B" w:rsidR="00983CEE" w:rsidRPr="005A285E" w:rsidRDefault="00772D11" w:rsidP="00983CEE">
      <w:pPr>
        <w:pStyle w:val="Titre1"/>
        <w:rPr>
          <w:sz w:val="32"/>
          <w:szCs w:val="32"/>
        </w:rPr>
      </w:pPr>
      <w:bookmarkStart w:id="3" w:name="_Toc115498520"/>
      <w:proofErr w:type="spellStart"/>
      <w:r w:rsidRPr="005A285E">
        <w:rPr>
          <w:sz w:val="32"/>
          <w:szCs w:val="32"/>
          <w:highlight w:val="yellow"/>
        </w:rPr>
        <w:t>Etape</w:t>
      </w:r>
      <w:proofErr w:type="spellEnd"/>
      <w:r w:rsidRPr="005A285E">
        <w:rPr>
          <w:sz w:val="32"/>
          <w:szCs w:val="32"/>
          <w:highlight w:val="yellow"/>
        </w:rPr>
        <w:t xml:space="preserve"> 3</w:t>
      </w:r>
      <w:r w:rsidR="005A285E" w:rsidRPr="005A285E">
        <w:rPr>
          <w:sz w:val="32"/>
          <w:szCs w:val="32"/>
          <w:highlight w:val="yellow"/>
        </w:rPr>
        <w:t> : les débats entre constitutionnalistes</w:t>
      </w:r>
      <w:bookmarkEnd w:id="3"/>
    </w:p>
    <w:p w14:paraId="17454825" w14:textId="77777777" w:rsidR="00983CEE" w:rsidRDefault="00983CEE"/>
    <w:p w14:paraId="66E64564" w14:textId="073BAC15" w:rsidR="00D44F52" w:rsidRDefault="00194218">
      <w:r>
        <w:t>Le dépôt de propositions de lois a donné lieu à de vifs débats chez les constitutionnalistes</w:t>
      </w:r>
    </w:p>
    <w:p w14:paraId="502CCB4F" w14:textId="61807F59" w:rsidR="00772D11" w:rsidRDefault="00772D11"/>
    <w:p w14:paraId="4DBB83AD" w14:textId="236792CB" w:rsidR="0056260F" w:rsidRDefault="0056260F" w:rsidP="00C14B1F">
      <w:pPr>
        <w:pStyle w:val="Titre2"/>
      </w:pPr>
      <w:bookmarkStart w:id="4" w:name="_Toc115498521"/>
      <w:r w:rsidRPr="00F939C8">
        <w:rPr>
          <w:highlight w:val="yellow"/>
        </w:rPr>
        <w:t xml:space="preserve">3.1 Les arguments contre l’inscription dans la constitution du droit à </w:t>
      </w:r>
      <w:proofErr w:type="gramStart"/>
      <w:r w:rsidRPr="00F939C8">
        <w:rPr>
          <w:highlight w:val="yellow"/>
        </w:rPr>
        <w:t>l’ IVG</w:t>
      </w:r>
      <w:bookmarkEnd w:id="4"/>
      <w:proofErr w:type="gramEnd"/>
    </w:p>
    <w:p w14:paraId="5777470B" w14:textId="77777777" w:rsidR="00C14B1F" w:rsidRDefault="00C14B1F"/>
    <w:p w14:paraId="6256EA1A" w14:textId="00DB443C" w:rsidR="00EB1771" w:rsidRDefault="00EB1771">
      <w:r w:rsidRPr="00EB1771">
        <w:rPr>
          <w:highlight w:val="cyan"/>
        </w:rPr>
        <w:t>Mise en activité</w:t>
      </w:r>
      <w:r>
        <w:t xml:space="preserve"> </w:t>
      </w:r>
    </w:p>
    <w:p w14:paraId="6746F3FF" w14:textId="77777777" w:rsidR="00EB1771" w:rsidRDefault="00EB1771"/>
    <w:p w14:paraId="19A26E86" w14:textId="3B5FDA50" w:rsidR="00772D11" w:rsidRDefault="00772D11">
      <w:r>
        <w:t xml:space="preserve">Diviser la classe en plusieurs groupes </w:t>
      </w:r>
    </w:p>
    <w:p w14:paraId="03E53C0C" w14:textId="0C3D53A2" w:rsidR="00194218" w:rsidRDefault="00194218"/>
    <w:p w14:paraId="3DDEFBCB" w14:textId="45F3DC71" w:rsidR="005A285E" w:rsidRDefault="00194218">
      <w:r>
        <w:t xml:space="preserve">Chaque groupe se voit attribuer un article à analyser </w:t>
      </w:r>
    </w:p>
    <w:p w14:paraId="375CC659" w14:textId="77777777" w:rsidR="005A285E" w:rsidRDefault="005A285E"/>
    <w:p w14:paraId="54329F1B" w14:textId="06079453" w:rsidR="005A285E" w:rsidRDefault="0056260F" w:rsidP="005A285E">
      <w:pPr>
        <w:pStyle w:val="Paragraphedeliste"/>
        <w:numPr>
          <w:ilvl w:val="0"/>
          <w:numId w:val="8"/>
        </w:numPr>
        <w:jc w:val="both"/>
      </w:pPr>
      <w:proofErr w:type="spellStart"/>
      <w:r w:rsidRPr="00011610">
        <w:rPr>
          <w:b/>
          <w:bCs/>
        </w:rPr>
        <w:t>Gpe</w:t>
      </w:r>
      <w:proofErr w:type="spellEnd"/>
      <w:r w:rsidRPr="00011610">
        <w:rPr>
          <w:b/>
          <w:bCs/>
        </w:rPr>
        <w:t xml:space="preserve"> 1</w:t>
      </w:r>
      <w:r>
        <w:t> </w:t>
      </w:r>
      <w:r w:rsidRPr="00011610">
        <w:rPr>
          <w:i/>
          <w:iCs/>
        </w:rPr>
        <w:t>:</w:t>
      </w:r>
      <w:r w:rsidR="00011610" w:rsidRPr="00011610">
        <w:rPr>
          <w:i/>
          <w:iCs/>
        </w:rPr>
        <w:t xml:space="preserve"> </w:t>
      </w:r>
      <w:r w:rsidRPr="00011610">
        <w:rPr>
          <w:i/>
          <w:iCs/>
        </w:rPr>
        <w:t>Inscrire le droit à l'avortement dans notre Constitution, une proposition ni justifiée ni pertinente</w:t>
      </w:r>
      <w:r w:rsidRPr="0056260F">
        <w:t xml:space="preserve"> - Par Anne Levade, professeur de droit public à l'Université Paris Panthéon-Sorbonne</w:t>
      </w:r>
      <w:r w:rsidR="005A285E">
        <w:t>.</w:t>
      </w:r>
    </w:p>
    <w:p w14:paraId="6FDF65C2" w14:textId="59635EA4" w:rsidR="0056260F" w:rsidRDefault="00000000" w:rsidP="005A285E">
      <w:pPr>
        <w:pStyle w:val="Paragraphedeliste"/>
        <w:jc w:val="both"/>
      </w:pPr>
      <w:hyperlink r:id="rId14" w:history="1">
        <w:r w:rsidR="0056260F" w:rsidRPr="007D18C1">
          <w:rPr>
            <w:rStyle w:val="Lienhypertexte"/>
          </w:rPr>
          <w:t>https://blog.leclubdesjuristes.com/inscrire-le-droit-a-lavortement-dans-notre-constitution-une-proposition-ni-justifiee-ni-pertinente-par-anne-levade-professeur-de-droit-public-a-luniversite-paris-1-pantheon-sorbonne-membre-du/</w:t>
        </w:r>
      </w:hyperlink>
    </w:p>
    <w:p w14:paraId="27D03C38" w14:textId="49ABA183" w:rsidR="0056260F" w:rsidRDefault="0056260F" w:rsidP="005A285E">
      <w:pPr>
        <w:pStyle w:val="Paragraphedeliste"/>
        <w:jc w:val="both"/>
      </w:pPr>
    </w:p>
    <w:p w14:paraId="585FE865" w14:textId="2BE5D53A" w:rsidR="0056260F" w:rsidRDefault="0056260F" w:rsidP="005A285E">
      <w:pPr>
        <w:pStyle w:val="Paragraphedeliste"/>
        <w:numPr>
          <w:ilvl w:val="0"/>
          <w:numId w:val="8"/>
        </w:numPr>
        <w:jc w:val="both"/>
      </w:pPr>
      <w:proofErr w:type="spellStart"/>
      <w:r w:rsidRPr="00011610">
        <w:rPr>
          <w:b/>
          <w:bCs/>
        </w:rPr>
        <w:t>Gpe</w:t>
      </w:r>
      <w:proofErr w:type="spellEnd"/>
      <w:r w:rsidRPr="00011610">
        <w:rPr>
          <w:b/>
          <w:bCs/>
        </w:rPr>
        <w:t xml:space="preserve"> 2</w:t>
      </w:r>
      <w:r>
        <w:t xml:space="preserve"> - </w:t>
      </w:r>
      <w:r w:rsidRPr="0056260F">
        <w:t xml:space="preserve">IVG : </w:t>
      </w:r>
      <w:r w:rsidRPr="00011610">
        <w:rPr>
          <w:i/>
          <w:iCs/>
        </w:rPr>
        <w:t xml:space="preserve">Pourquoi importer la crise </w:t>
      </w:r>
      <w:r w:rsidR="00011610" w:rsidRPr="00011610">
        <w:rPr>
          <w:i/>
          <w:iCs/>
        </w:rPr>
        <w:t>américaine</w:t>
      </w:r>
      <w:r w:rsidR="00011610">
        <w:rPr>
          <w:i/>
          <w:iCs/>
        </w:rPr>
        <w:t xml:space="preserve"> </w:t>
      </w:r>
      <w:r w:rsidR="00011610" w:rsidRPr="00011610">
        <w:rPr>
          <w:i/>
          <w:iCs/>
        </w:rPr>
        <w:t>?</w:t>
      </w:r>
      <w:r>
        <w:t xml:space="preserve"> par Roseline </w:t>
      </w:r>
      <w:proofErr w:type="spellStart"/>
      <w:r>
        <w:t>Letteron</w:t>
      </w:r>
      <w:proofErr w:type="spellEnd"/>
      <w:r>
        <w:t xml:space="preserve">, professeure de droit public : </w:t>
      </w:r>
      <w:hyperlink r:id="rId15" w:history="1">
        <w:r w:rsidRPr="007D18C1">
          <w:rPr>
            <w:rStyle w:val="Lienhypertexte"/>
          </w:rPr>
          <w:t>http://libertescheries.blogspot.com/2022/06/ivg-pourquoi-importer-la-crise.html</w:t>
        </w:r>
      </w:hyperlink>
    </w:p>
    <w:p w14:paraId="5F0C0BE8" w14:textId="77777777" w:rsidR="0056260F" w:rsidRDefault="0056260F" w:rsidP="005A285E">
      <w:pPr>
        <w:pStyle w:val="Paragraphedeliste"/>
        <w:jc w:val="both"/>
      </w:pPr>
    </w:p>
    <w:p w14:paraId="3C99E6F9" w14:textId="62D21151" w:rsidR="00F939C8" w:rsidRDefault="0056260F" w:rsidP="005A285E">
      <w:pPr>
        <w:pStyle w:val="Paragraphedeliste"/>
        <w:numPr>
          <w:ilvl w:val="0"/>
          <w:numId w:val="8"/>
        </w:numPr>
        <w:jc w:val="both"/>
        <w:rPr>
          <w:b/>
          <w:bCs/>
        </w:rPr>
      </w:pPr>
      <w:proofErr w:type="spellStart"/>
      <w:r w:rsidRPr="00011610">
        <w:rPr>
          <w:b/>
          <w:bCs/>
        </w:rPr>
        <w:t>Gpe</w:t>
      </w:r>
      <w:proofErr w:type="spellEnd"/>
      <w:r w:rsidRPr="00011610">
        <w:rPr>
          <w:b/>
          <w:bCs/>
        </w:rPr>
        <w:t xml:space="preserve"> 3</w:t>
      </w:r>
      <w:r>
        <w:t xml:space="preserve"> </w:t>
      </w:r>
      <w:r w:rsidR="00F939C8">
        <w:t xml:space="preserve">- </w:t>
      </w:r>
      <w:r w:rsidR="00F939C8" w:rsidRPr="00011610">
        <w:rPr>
          <w:i/>
          <w:iCs/>
        </w:rPr>
        <w:t>IVG dans la Constitution : « Il ne faut pas ouvrir la boîte de Pandore </w:t>
      </w:r>
      <w:proofErr w:type="gramStart"/>
      <w:r w:rsidR="00F939C8" w:rsidRPr="00F939C8">
        <w:rPr>
          <w:b/>
          <w:bCs/>
        </w:rPr>
        <w:t xml:space="preserve">» </w:t>
      </w:r>
      <w:r w:rsidR="00F939C8" w:rsidRPr="00011610">
        <w:t>,</w:t>
      </w:r>
      <w:proofErr w:type="gramEnd"/>
      <w:r w:rsidR="00F939C8" w:rsidRPr="00011610">
        <w:t xml:space="preserve"> par Laurence </w:t>
      </w:r>
      <w:proofErr w:type="spellStart"/>
      <w:r w:rsidR="00F939C8" w:rsidRPr="00011610">
        <w:t>Vichnievsky</w:t>
      </w:r>
      <w:proofErr w:type="spellEnd"/>
      <w:r w:rsidR="00F939C8" w:rsidRPr="00011610">
        <w:t xml:space="preserve"> Magistrate : </w:t>
      </w:r>
      <w:hyperlink r:id="rId16" w:history="1">
        <w:r w:rsidR="00F939C8" w:rsidRPr="00011610">
          <w:rPr>
            <w:rStyle w:val="Lienhypertexte"/>
          </w:rPr>
          <w:t>https://www.la-croix.com/Debats/IVG-Constitution-Il-faut-pas-ouvrir-boite-Pandore-2022-06-30-1201222785</w:t>
        </w:r>
      </w:hyperlink>
    </w:p>
    <w:p w14:paraId="2FEF3AC0" w14:textId="77777777" w:rsidR="00F939C8" w:rsidRPr="00F939C8" w:rsidRDefault="00F939C8" w:rsidP="005A285E">
      <w:pPr>
        <w:pStyle w:val="Paragraphedeliste"/>
        <w:jc w:val="both"/>
        <w:rPr>
          <w:b/>
          <w:bCs/>
        </w:rPr>
      </w:pPr>
    </w:p>
    <w:p w14:paraId="0290316C" w14:textId="77777777" w:rsidR="00F939C8" w:rsidRDefault="00F939C8" w:rsidP="005A285E">
      <w:pPr>
        <w:pStyle w:val="Paragraphedeliste"/>
        <w:numPr>
          <w:ilvl w:val="0"/>
          <w:numId w:val="8"/>
        </w:numPr>
        <w:jc w:val="both"/>
        <w:rPr>
          <w:b/>
          <w:bCs/>
        </w:rPr>
      </w:pPr>
      <w:proofErr w:type="spellStart"/>
      <w:r>
        <w:rPr>
          <w:b/>
          <w:bCs/>
        </w:rPr>
        <w:t>Gpe</w:t>
      </w:r>
      <w:proofErr w:type="spellEnd"/>
      <w:r>
        <w:rPr>
          <w:b/>
          <w:bCs/>
        </w:rPr>
        <w:t xml:space="preserve"> 4 - </w:t>
      </w:r>
      <w:r w:rsidRPr="00011610">
        <w:rPr>
          <w:i/>
          <w:iCs/>
        </w:rPr>
        <w:t>Inscription du droit à l'IVG dans la Constitution : «Le recours au droit comme solution à tout est une illusion dangereuse»</w:t>
      </w:r>
      <w:r>
        <w:rPr>
          <w:b/>
          <w:bCs/>
        </w:rPr>
        <w:t xml:space="preserve">, </w:t>
      </w:r>
      <w:r w:rsidRPr="00011610">
        <w:t xml:space="preserve">Entretien avec Bruno </w:t>
      </w:r>
      <w:proofErr w:type="spellStart"/>
      <w:r w:rsidRPr="00011610">
        <w:t>Daugeron</w:t>
      </w:r>
      <w:proofErr w:type="spellEnd"/>
      <w:r w:rsidRPr="00011610">
        <w:t>, professeur de droit public à l'Université Paris Descartes :</w:t>
      </w:r>
      <w:r>
        <w:t xml:space="preserve"> </w:t>
      </w:r>
      <w:hyperlink r:id="rId17" w:history="1">
        <w:r w:rsidRPr="00011610">
          <w:rPr>
            <w:rStyle w:val="Lienhypertexte"/>
            <w:b/>
            <w:bCs/>
          </w:rPr>
          <w:t>https://www.lefigaro.fr/actualite-france/inscription-du-droit-a-l-ivg-dans-la-constitution-le-recours-au-droit-comme-solution-a-tout-est-une-illusion-dangereuse-20220628</w:t>
        </w:r>
      </w:hyperlink>
    </w:p>
    <w:p w14:paraId="0EDD817A" w14:textId="77777777" w:rsidR="00F939C8" w:rsidRPr="00F939C8" w:rsidRDefault="00F939C8" w:rsidP="00F939C8">
      <w:pPr>
        <w:rPr>
          <w:b/>
          <w:bCs/>
        </w:rPr>
      </w:pPr>
    </w:p>
    <w:p w14:paraId="1BDB1178" w14:textId="7170390F" w:rsidR="00F939C8" w:rsidRPr="00F939C8" w:rsidRDefault="00F939C8" w:rsidP="005A285E">
      <w:pPr>
        <w:pStyle w:val="Paragraphedeliste"/>
        <w:pBdr>
          <w:top w:val="single" w:sz="4" w:space="1" w:color="auto"/>
          <w:left w:val="single" w:sz="4" w:space="4" w:color="auto"/>
          <w:bottom w:val="single" w:sz="4" w:space="1" w:color="auto"/>
          <w:right w:val="single" w:sz="4" w:space="4" w:color="auto"/>
        </w:pBdr>
        <w:rPr>
          <w:b/>
          <w:bCs/>
        </w:rPr>
      </w:pPr>
      <w:r>
        <w:rPr>
          <w:b/>
          <w:bCs/>
        </w:rPr>
        <w:t xml:space="preserve">Mise en </w:t>
      </w:r>
      <w:r w:rsidR="00EB1771">
        <w:rPr>
          <w:b/>
          <w:bCs/>
        </w:rPr>
        <w:t xml:space="preserve">commun, et réalisation d’un tableau synthétique permettant une vue synoptique des différents arguments avancés </w:t>
      </w:r>
    </w:p>
    <w:p w14:paraId="0D25E25A" w14:textId="4E00278B" w:rsidR="0056260F" w:rsidRPr="00F939C8" w:rsidRDefault="0056260F" w:rsidP="00F939C8">
      <w:pPr>
        <w:pStyle w:val="Paragraphedeliste"/>
        <w:rPr>
          <w:b/>
          <w:bCs/>
        </w:rPr>
      </w:pPr>
    </w:p>
    <w:p w14:paraId="30293AD2" w14:textId="2A9D79F9" w:rsidR="0056260F" w:rsidRDefault="00EB1771" w:rsidP="00C14B1F">
      <w:pPr>
        <w:pStyle w:val="Titre2"/>
      </w:pPr>
      <w:bookmarkStart w:id="5" w:name="_Toc115498522"/>
      <w:r w:rsidRPr="00C14B1F">
        <w:rPr>
          <w:highlight w:val="yellow"/>
        </w:rPr>
        <w:t xml:space="preserve">3.2 : Les arguments en faveur d’une inscription du droit à </w:t>
      </w:r>
      <w:proofErr w:type="gramStart"/>
      <w:r w:rsidRPr="00C14B1F">
        <w:rPr>
          <w:highlight w:val="yellow"/>
        </w:rPr>
        <w:t>l’ IVG</w:t>
      </w:r>
      <w:proofErr w:type="gramEnd"/>
      <w:r w:rsidRPr="00C14B1F">
        <w:rPr>
          <w:highlight w:val="yellow"/>
        </w:rPr>
        <w:t xml:space="preserve"> dans la constitution</w:t>
      </w:r>
      <w:r w:rsidR="00EF387A" w:rsidRPr="00C14B1F">
        <w:rPr>
          <w:highlight w:val="yellow"/>
        </w:rPr>
        <w:t> : les réponses aux objections</w:t>
      </w:r>
      <w:bookmarkEnd w:id="5"/>
      <w:r w:rsidR="00EF387A">
        <w:t xml:space="preserve"> </w:t>
      </w:r>
    </w:p>
    <w:p w14:paraId="5816ADBE" w14:textId="79143021" w:rsidR="00F97F60" w:rsidRDefault="00F97F60"/>
    <w:p w14:paraId="0B8D7551" w14:textId="77777777" w:rsidR="00F22C76" w:rsidRDefault="00F22C76" w:rsidP="00B42917"/>
    <w:p w14:paraId="7292C63F" w14:textId="31B21821" w:rsidR="00F22C76" w:rsidRPr="00B42917" w:rsidRDefault="00F22C76" w:rsidP="00B42917">
      <w:pPr>
        <w:pBdr>
          <w:top w:val="single" w:sz="4" w:space="1" w:color="auto"/>
          <w:left w:val="single" w:sz="4" w:space="4" w:color="auto"/>
          <w:bottom w:val="single" w:sz="4" w:space="1" w:color="auto"/>
          <w:right w:val="single" w:sz="4" w:space="4" w:color="auto"/>
        </w:pBdr>
        <w:jc w:val="both"/>
        <w:rPr>
          <w:sz w:val="20"/>
          <w:szCs w:val="20"/>
        </w:rPr>
      </w:pPr>
      <w:r w:rsidRPr="00B42917">
        <w:rPr>
          <w:sz w:val="20"/>
          <w:szCs w:val="20"/>
        </w:rPr>
        <w:t xml:space="preserve">Document </w:t>
      </w:r>
      <w:r w:rsidR="00EF387A" w:rsidRPr="00B42917">
        <w:rPr>
          <w:sz w:val="20"/>
          <w:szCs w:val="20"/>
        </w:rPr>
        <w:t>4</w:t>
      </w:r>
    </w:p>
    <w:p w14:paraId="146948F1" w14:textId="7BF6E8CF" w:rsidR="004D5DA1" w:rsidRPr="00B42917" w:rsidRDefault="004D5DA1" w:rsidP="00B42917">
      <w:pPr>
        <w:pBdr>
          <w:top w:val="single" w:sz="4" w:space="1" w:color="auto"/>
          <w:left w:val="single" w:sz="4" w:space="4" w:color="auto"/>
          <w:bottom w:val="single" w:sz="4" w:space="1" w:color="auto"/>
          <w:right w:val="single" w:sz="4" w:space="4" w:color="auto"/>
        </w:pBdr>
        <w:jc w:val="both"/>
        <w:rPr>
          <w:sz w:val="20"/>
          <w:szCs w:val="20"/>
        </w:rPr>
      </w:pPr>
      <w:r w:rsidRPr="00B42917">
        <w:rPr>
          <w:sz w:val="20"/>
          <w:szCs w:val="20"/>
        </w:rPr>
        <w:t>  « </w:t>
      </w:r>
      <w:r w:rsidRPr="00B42917">
        <w:rPr>
          <w:b/>
          <w:bCs/>
          <w:sz w:val="20"/>
          <w:szCs w:val="20"/>
        </w:rPr>
        <w:t>L’inscription du droit à l’avortement dans la Constitution française</w:t>
      </w:r>
      <w:r w:rsidRPr="00B42917">
        <w:rPr>
          <w:sz w:val="20"/>
          <w:szCs w:val="20"/>
        </w:rPr>
        <w:t xml:space="preserve"> », </w:t>
      </w:r>
      <w:r w:rsidR="00F22C76" w:rsidRPr="00B42917">
        <w:rPr>
          <w:sz w:val="20"/>
          <w:szCs w:val="20"/>
        </w:rPr>
        <w:t xml:space="preserve">par </w:t>
      </w:r>
      <w:hyperlink r:id="rId18" w:history="1">
        <w:r w:rsidR="00F22C76" w:rsidRPr="00B42917">
          <w:rPr>
            <w:rStyle w:val="Lienhypertexte"/>
            <w:rFonts w:cstheme="minorHAnsi"/>
            <w:sz w:val="20"/>
            <w:szCs w:val="20"/>
          </w:rPr>
          <w:t>https://www.actu-juridique.fr/constitutionnel/linscription-du-droit-a-lavortement-dans-la-constitution-francaise/</w:t>
        </w:r>
      </w:hyperlink>
    </w:p>
    <w:p w14:paraId="21682BFB" w14:textId="1FC0FE03" w:rsidR="004D5DA1" w:rsidRPr="00B42917" w:rsidRDefault="004D5DA1" w:rsidP="00B42917">
      <w:pPr>
        <w:pBdr>
          <w:top w:val="single" w:sz="4" w:space="1" w:color="auto"/>
          <w:left w:val="single" w:sz="4" w:space="4" w:color="auto"/>
          <w:bottom w:val="single" w:sz="4" w:space="1" w:color="auto"/>
          <w:right w:val="single" w:sz="4" w:space="4" w:color="auto"/>
        </w:pBdr>
        <w:jc w:val="both"/>
        <w:rPr>
          <w:sz w:val="20"/>
          <w:szCs w:val="20"/>
        </w:rPr>
      </w:pPr>
    </w:p>
    <w:p w14:paraId="7519B9D4" w14:textId="77777777" w:rsidR="004D5DA1" w:rsidRPr="00B42917" w:rsidRDefault="004D5DA1" w:rsidP="00B42917">
      <w:pPr>
        <w:pBdr>
          <w:top w:val="single" w:sz="4" w:space="1" w:color="auto"/>
          <w:left w:val="single" w:sz="4" w:space="4" w:color="auto"/>
          <w:bottom w:val="single" w:sz="4" w:space="1" w:color="auto"/>
          <w:right w:val="single" w:sz="4" w:space="4" w:color="auto"/>
        </w:pBdr>
        <w:jc w:val="both"/>
        <w:rPr>
          <w:sz w:val="20"/>
          <w:szCs w:val="20"/>
        </w:rPr>
      </w:pPr>
      <w:r w:rsidRPr="00B42917">
        <w:rPr>
          <w:sz w:val="20"/>
          <w:szCs w:val="20"/>
        </w:rPr>
        <w:t xml:space="preserve">L’annulation de l’arrêt </w:t>
      </w:r>
      <w:r w:rsidRPr="00B42917">
        <w:rPr>
          <w:rStyle w:val="cital"/>
          <w:sz w:val="20"/>
          <w:szCs w:val="20"/>
        </w:rPr>
        <w:t>Roe versus Wade</w:t>
      </w:r>
      <w:r w:rsidRPr="00B42917">
        <w:rPr>
          <w:sz w:val="20"/>
          <w:szCs w:val="20"/>
        </w:rPr>
        <w:t xml:space="preserve"> par la Cour suprême américaine le 24 juin 2022 a prodigué une nouvelle ampleur au débat sur la consécration d’un droit constitutionnel à l’interruption volontaire de grossesse. Si aucun obstacle juridique ne semble s’y heurter, sa mise en œuvre concrète doit néanmoins faire l’objet d’une réflexion, notamment au regard de la formulation de ce droit et de sa place au sein du corpus constitutionnel.</w:t>
      </w:r>
    </w:p>
    <w:p w14:paraId="76FB0335" w14:textId="77777777" w:rsidR="004D5DA1" w:rsidRPr="00B42917" w:rsidRDefault="004D5DA1" w:rsidP="00B42917">
      <w:pPr>
        <w:pBdr>
          <w:top w:val="single" w:sz="4" w:space="1" w:color="auto"/>
          <w:left w:val="single" w:sz="4" w:space="4" w:color="auto"/>
          <w:bottom w:val="single" w:sz="4" w:space="1" w:color="auto"/>
          <w:right w:val="single" w:sz="4" w:space="4" w:color="auto"/>
        </w:pBdr>
        <w:jc w:val="both"/>
        <w:rPr>
          <w:sz w:val="20"/>
          <w:szCs w:val="20"/>
        </w:rPr>
      </w:pPr>
      <w:r w:rsidRPr="00B42917">
        <w:rPr>
          <w:sz w:val="20"/>
          <w:szCs w:val="20"/>
        </w:rPr>
        <w:t xml:space="preserve">Le 24 juin 2022, la Cour suprême américaine a renversé l’arrêt </w:t>
      </w:r>
      <w:r w:rsidRPr="00B42917">
        <w:rPr>
          <w:rStyle w:val="cital"/>
          <w:sz w:val="20"/>
          <w:szCs w:val="20"/>
        </w:rPr>
        <w:t>Roe versus Wade</w:t>
      </w:r>
      <w:r w:rsidRPr="00B42917">
        <w:rPr>
          <w:sz w:val="20"/>
          <w:szCs w:val="20"/>
        </w:rPr>
        <w:t xml:space="preserve"> de 1973, qui consacrait le droit à l’avortement au niveau fédéral. Le verdict, qui a eu un retentissement international, a entrainé en France le dépôt de propositions de loi à l’Assemblée nationale et au Sénat visant à constitutionnaliser ce droit.</w:t>
      </w:r>
    </w:p>
    <w:p w14:paraId="16B6F893" w14:textId="77777777" w:rsidR="004D5DA1" w:rsidRPr="00B42917" w:rsidRDefault="004D5DA1" w:rsidP="00B42917">
      <w:pPr>
        <w:pBdr>
          <w:top w:val="single" w:sz="4" w:space="1" w:color="auto"/>
          <w:left w:val="single" w:sz="4" w:space="4" w:color="auto"/>
          <w:bottom w:val="single" w:sz="4" w:space="1" w:color="auto"/>
          <w:right w:val="single" w:sz="4" w:space="4" w:color="auto"/>
        </w:pBdr>
        <w:jc w:val="both"/>
        <w:rPr>
          <w:sz w:val="20"/>
          <w:szCs w:val="20"/>
        </w:rPr>
      </w:pPr>
      <w:r w:rsidRPr="00B42917">
        <w:rPr>
          <w:sz w:val="20"/>
          <w:szCs w:val="20"/>
        </w:rPr>
        <w:t>Largement plébiscitée par l’opinion publique</w:t>
      </w:r>
      <w:hyperlink r:id="rId19" w:anchor="ftn1" w:history="1">
        <w:r w:rsidRPr="00B42917">
          <w:rPr>
            <w:rStyle w:val="Lienhypertexte"/>
            <w:sz w:val="20"/>
            <w:szCs w:val="20"/>
          </w:rPr>
          <w:t>1</w:t>
        </w:r>
      </w:hyperlink>
      <w:r w:rsidRPr="00B42917">
        <w:rPr>
          <w:sz w:val="20"/>
          <w:szCs w:val="20"/>
        </w:rPr>
        <w:t>, l’inscription dans la Constitution du droit à l’interruption volontaire de grossesse (IVG) se heurte néanmoins à l’hostilité d’une partie des juristes. Forcément sujette à débat sur le plan idéologique et des convictions personnelles, la mesure ne semble néanmoins ni se heurter à des obstacles légaux concrets ni relever du non-sens juridique qu’évoquent certains.</w:t>
      </w:r>
    </w:p>
    <w:p w14:paraId="046ADDAC" w14:textId="77777777" w:rsidR="004D5DA1" w:rsidRPr="00B42917" w:rsidRDefault="004D5DA1" w:rsidP="00B42917">
      <w:pPr>
        <w:pBdr>
          <w:top w:val="single" w:sz="4" w:space="1" w:color="auto"/>
          <w:left w:val="single" w:sz="4" w:space="4" w:color="auto"/>
          <w:bottom w:val="single" w:sz="4" w:space="1" w:color="auto"/>
          <w:right w:val="single" w:sz="4" w:space="4" w:color="auto"/>
        </w:pBdr>
        <w:jc w:val="both"/>
        <w:rPr>
          <w:sz w:val="20"/>
          <w:szCs w:val="20"/>
        </w:rPr>
      </w:pPr>
      <w:r w:rsidRPr="00B42917">
        <w:rPr>
          <w:sz w:val="20"/>
          <w:szCs w:val="20"/>
        </w:rPr>
        <w:t>Ainsi, parmi les arguments d’opposition vient notamment l’allégation selon laquelle cette modification de la Constitution serait dépourvue de pertinence dans la mesure où, d’une part, le droit à l’IVG découlerait déjà de l’article 2 de la Déclaration des droits de l’Homme et du citoyen qui reconnaît le droit à la liberté et que, d’autre part, n’étant pas une œuvre prétorienne, le droit à l’avortement ne serait pas aussi précaire que ce qu’il était aux États-Unis avant la décision du 24 juin 2022.</w:t>
      </w:r>
    </w:p>
    <w:p w14:paraId="12C6C0CA" w14:textId="77777777" w:rsidR="004D5DA1" w:rsidRPr="00B42917" w:rsidRDefault="004D5DA1" w:rsidP="00B42917">
      <w:pPr>
        <w:pBdr>
          <w:top w:val="single" w:sz="4" w:space="1" w:color="auto"/>
          <w:left w:val="single" w:sz="4" w:space="4" w:color="auto"/>
          <w:bottom w:val="single" w:sz="4" w:space="1" w:color="auto"/>
          <w:right w:val="single" w:sz="4" w:space="4" w:color="auto"/>
        </w:pBdr>
        <w:jc w:val="both"/>
        <w:rPr>
          <w:sz w:val="20"/>
          <w:szCs w:val="20"/>
        </w:rPr>
      </w:pPr>
      <w:r w:rsidRPr="00B42917">
        <w:rPr>
          <w:sz w:val="20"/>
          <w:szCs w:val="20"/>
        </w:rPr>
        <w:t xml:space="preserve">À cet argument, il convient d’opposer le fait que l’article 2 de la Déclaration des droits de l’Homme et du citoyen, certes partie intégrante du bloc de constitutionnalité, ne confère pas une protection autonome au droit à l’IVG ou même à un principe général dont découlerait naturellement le droit à l’IVG, comme ce serait par exemple le cas d’une liberté générale à disposer de son corps. C’est donc la jurisprudence constitutionnelle qui déduit du droit à la liberté un droit à la liberté personnelle dont découlerait le droit à l’IVG. En outre, il semble bon de rappeler à ce stade que la loi </w:t>
      </w:r>
      <w:r w:rsidRPr="00B42917">
        <w:rPr>
          <w:rStyle w:val="cital"/>
          <w:sz w:val="20"/>
          <w:szCs w:val="20"/>
        </w:rPr>
        <w:t>Veil</w:t>
      </w:r>
      <w:r w:rsidRPr="00B42917">
        <w:rPr>
          <w:sz w:val="20"/>
          <w:szCs w:val="20"/>
        </w:rPr>
        <w:t xml:space="preserve"> de 1975, présentée à l’époque comme répondant à un impératif sanitaire, se bornait à dépénaliser la pratique de l’avortement sous certaines conditions. Ainsi, le Code de la santé publique dispose dorénavant que toute femme qui ne souhaite pas poursuivre sa grossesse peut l’interrompre avant la fin de la quatorzième semaine d’aménorrhée</w:t>
      </w:r>
      <w:hyperlink r:id="rId20" w:anchor="ftn2" w:history="1">
        <w:r w:rsidRPr="00B42917">
          <w:rPr>
            <w:rStyle w:val="Lienhypertexte"/>
            <w:sz w:val="20"/>
            <w:szCs w:val="20"/>
          </w:rPr>
          <w:t>2</w:t>
        </w:r>
      </w:hyperlink>
      <w:r w:rsidRPr="00B42917">
        <w:rPr>
          <w:sz w:val="20"/>
          <w:szCs w:val="20"/>
        </w:rPr>
        <w:t xml:space="preserve">. Cette disposition législative, qui ne consacre pas un droit mais une simple faculté, peut par conséquent être mise en échec par une autre norme d’échelon équivalent ou des obstacles pratiques, tel que l’accès au soin. Il peut également être ici rappelé que l’argument selon lequel la constitutionnalisation du droit à l’IVG contreviendrait à l’esprit premier de la loi </w:t>
      </w:r>
      <w:r w:rsidRPr="00B42917">
        <w:rPr>
          <w:rStyle w:val="cital"/>
          <w:sz w:val="20"/>
          <w:szCs w:val="20"/>
        </w:rPr>
        <w:t>Veil</w:t>
      </w:r>
      <w:r w:rsidRPr="00B42917">
        <w:rPr>
          <w:sz w:val="20"/>
          <w:szCs w:val="20"/>
        </w:rPr>
        <w:t xml:space="preserve"> qui visait un équilibre entre les droits de l’embryon et celui de la mère, pour aussi recevable qu’il puisse être sur le terrain idéologique, ne trouve aucun ancrage juridique. En effet, dans la mesure où la personnalité juridique s’acquiert par la naissance, l’embryon en est par définition dépourvu et partant ne dispose pas, sur le plan juridique, de droits propres qui pourraient être mis en balance avec ceux de la mère.</w:t>
      </w:r>
    </w:p>
    <w:p w14:paraId="6DDECCC9" w14:textId="77777777" w:rsidR="004D5DA1" w:rsidRPr="00B42917" w:rsidRDefault="004D5DA1" w:rsidP="00B42917">
      <w:pPr>
        <w:pBdr>
          <w:top w:val="single" w:sz="4" w:space="1" w:color="auto"/>
          <w:left w:val="single" w:sz="4" w:space="4" w:color="auto"/>
          <w:bottom w:val="single" w:sz="4" w:space="1" w:color="auto"/>
          <w:right w:val="single" w:sz="4" w:space="4" w:color="auto"/>
        </w:pBdr>
        <w:jc w:val="both"/>
        <w:rPr>
          <w:sz w:val="20"/>
          <w:szCs w:val="20"/>
        </w:rPr>
      </w:pPr>
      <w:r w:rsidRPr="00B42917">
        <w:rPr>
          <w:sz w:val="20"/>
          <w:szCs w:val="20"/>
        </w:rPr>
        <w:t>D’autres détracteurs de la mesure soulignent que la constitutionnalisation du droit à l’IVG ouvrirait la voie à la constitutionnalisation d’autres droits sociaux tel que par exemple le mariage des couples de même sexe</w:t>
      </w:r>
      <w:hyperlink r:id="rId21" w:anchor="ftn3" w:history="1">
        <w:r w:rsidRPr="00B42917">
          <w:rPr>
            <w:rStyle w:val="Lienhypertexte"/>
            <w:sz w:val="20"/>
            <w:szCs w:val="20"/>
          </w:rPr>
          <w:t>3</w:t>
        </w:r>
      </w:hyperlink>
      <w:r w:rsidRPr="00B42917">
        <w:rPr>
          <w:sz w:val="20"/>
          <w:szCs w:val="20"/>
        </w:rPr>
        <w:t xml:space="preserve">. Or, </w:t>
      </w:r>
      <w:r w:rsidRPr="00B42917">
        <w:rPr>
          <w:sz w:val="20"/>
          <w:szCs w:val="20"/>
        </w:rPr>
        <w:lastRenderedPageBreak/>
        <w:t>comme exposé plus haut, le choix de procéder à une IVG ne peut être de manière indéniable rattaché à aucun droit consacré au niveau supra législatif contrairement, pour reprendre l’analogie proposée, au mariage des personnes de même sexe qui peut spontanément être rattaché au droit de se marier et de fonder une famille</w:t>
      </w:r>
      <w:hyperlink r:id="rId22" w:anchor="ftn4" w:history="1">
        <w:r w:rsidRPr="00B42917">
          <w:rPr>
            <w:rStyle w:val="Lienhypertexte"/>
            <w:sz w:val="20"/>
            <w:szCs w:val="20"/>
          </w:rPr>
          <w:t>4</w:t>
        </w:r>
      </w:hyperlink>
      <w:r w:rsidRPr="00B42917">
        <w:rPr>
          <w:sz w:val="20"/>
          <w:szCs w:val="20"/>
        </w:rPr>
        <w:t>. Rappelons en outre que la France n’a que rarement été à l’avant-garde de la promulgation des droits sociaux et politiques. Le « risque » de voir consacrer en France, dans le sillage du droit à l’IVG, une avalanche de droits sociaux au niveau constitutionnel, semble donc limité.</w:t>
      </w:r>
    </w:p>
    <w:p w14:paraId="17633F32" w14:textId="77777777" w:rsidR="004D5DA1" w:rsidRPr="00B42917" w:rsidRDefault="004D5DA1" w:rsidP="00B42917">
      <w:pPr>
        <w:pBdr>
          <w:top w:val="single" w:sz="4" w:space="1" w:color="auto"/>
          <w:left w:val="single" w:sz="4" w:space="4" w:color="auto"/>
          <w:bottom w:val="single" w:sz="4" w:space="1" w:color="auto"/>
          <w:right w:val="single" w:sz="4" w:space="4" w:color="auto"/>
        </w:pBdr>
        <w:jc w:val="both"/>
        <w:rPr>
          <w:sz w:val="20"/>
          <w:szCs w:val="20"/>
        </w:rPr>
      </w:pPr>
      <w:r w:rsidRPr="00B42917">
        <w:rPr>
          <w:sz w:val="20"/>
          <w:szCs w:val="20"/>
        </w:rPr>
        <w:t>Enfin, à ceux qui s’inquiètent de voir la Constitution perdre son objet de texte de structuration des institutions en adoptant une fonction de recueil des droits et libertés fondamentaux</w:t>
      </w:r>
      <w:hyperlink r:id="rId23" w:anchor="ftn5" w:history="1">
        <w:r w:rsidRPr="00B42917">
          <w:rPr>
            <w:rStyle w:val="Lienhypertexte"/>
            <w:sz w:val="20"/>
            <w:szCs w:val="20"/>
          </w:rPr>
          <w:t>5</w:t>
        </w:r>
      </w:hyperlink>
      <w:r w:rsidRPr="00B42917">
        <w:rPr>
          <w:sz w:val="20"/>
          <w:szCs w:val="20"/>
        </w:rPr>
        <w:t>, il convient de répondre que la promulgation des droits et libertés fondamentaux dans la Constitution est une tendance largement amorcée depuis le milieu du XX</w:t>
      </w:r>
      <w:r w:rsidRPr="00B42917">
        <w:rPr>
          <w:rStyle w:val="cexposant"/>
          <w:sz w:val="20"/>
          <w:szCs w:val="20"/>
        </w:rPr>
        <w:t>e</w:t>
      </w:r>
      <w:r w:rsidRPr="00B42917">
        <w:rPr>
          <w:sz w:val="20"/>
          <w:szCs w:val="20"/>
        </w:rPr>
        <w:t> siècle, avec la promulgation des « principes fondamentaux reconnus par les lois de la République » et des principes et objectifs à valeur constitutionnelle, qui se prolonge au XXI</w:t>
      </w:r>
      <w:r w:rsidRPr="00B42917">
        <w:rPr>
          <w:rStyle w:val="cexposant"/>
          <w:sz w:val="20"/>
          <w:szCs w:val="20"/>
        </w:rPr>
        <w:t>e</w:t>
      </w:r>
      <w:r w:rsidRPr="00B42917">
        <w:rPr>
          <w:sz w:val="20"/>
          <w:szCs w:val="20"/>
        </w:rPr>
        <w:t> siècle</w:t>
      </w:r>
      <w:hyperlink r:id="rId24" w:anchor="ftn6" w:history="1">
        <w:r w:rsidRPr="00B42917">
          <w:rPr>
            <w:rStyle w:val="Lienhypertexte"/>
            <w:sz w:val="20"/>
            <w:szCs w:val="20"/>
          </w:rPr>
          <w:t>6</w:t>
        </w:r>
      </w:hyperlink>
      <w:r w:rsidRPr="00B42917">
        <w:rPr>
          <w:sz w:val="20"/>
          <w:szCs w:val="20"/>
        </w:rPr>
        <w:t xml:space="preserve"> et qu’à cet égard la constitutionnalisation du droit à l’IVG ne constituerait pas la rupture alléguée.</w:t>
      </w:r>
    </w:p>
    <w:p w14:paraId="557C2486" w14:textId="77777777" w:rsidR="004D5DA1" w:rsidRPr="00B42917" w:rsidRDefault="004D5DA1" w:rsidP="00B42917">
      <w:pPr>
        <w:pBdr>
          <w:top w:val="single" w:sz="4" w:space="1" w:color="auto"/>
          <w:left w:val="single" w:sz="4" w:space="4" w:color="auto"/>
          <w:bottom w:val="single" w:sz="4" w:space="1" w:color="auto"/>
          <w:right w:val="single" w:sz="4" w:space="4" w:color="auto"/>
        </w:pBdr>
        <w:jc w:val="both"/>
        <w:rPr>
          <w:sz w:val="20"/>
          <w:szCs w:val="20"/>
        </w:rPr>
      </w:pPr>
      <w:r w:rsidRPr="00B42917">
        <w:rPr>
          <w:sz w:val="20"/>
          <w:szCs w:val="20"/>
        </w:rPr>
        <w:t>Ainsi, l’inscription du droit à l’IVG dans la Constitution semble, selon nous, ne se heurter à aucun argument juridique. Une telle consécration aurait donc une double portée : ériger le recours à l’IVG comme un droit fondamental et en assurer la pérennité à travers la stabilité de la Constitution.</w:t>
      </w:r>
    </w:p>
    <w:p w14:paraId="16920DD6" w14:textId="77777777" w:rsidR="004D5DA1" w:rsidRPr="00B42917" w:rsidRDefault="004D5DA1" w:rsidP="00B42917">
      <w:pPr>
        <w:pBdr>
          <w:top w:val="single" w:sz="4" w:space="1" w:color="auto"/>
          <w:left w:val="single" w:sz="4" w:space="4" w:color="auto"/>
          <w:bottom w:val="single" w:sz="4" w:space="1" w:color="auto"/>
          <w:right w:val="single" w:sz="4" w:space="4" w:color="auto"/>
        </w:pBdr>
        <w:jc w:val="both"/>
        <w:rPr>
          <w:sz w:val="20"/>
          <w:szCs w:val="20"/>
        </w:rPr>
      </w:pPr>
      <w:r w:rsidRPr="00B42917">
        <w:rPr>
          <w:sz w:val="20"/>
          <w:szCs w:val="20"/>
        </w:rPr>
        <w:t>Deux questions se posent alors : quels seraient l’emplacement et le libellé pertinents pour une telle consécration ?</w:t>
      </w:r>
    </w:p>
    <w:p w14:paraId="7C298675" w14:textId="77777777" w:rsidR="004D5DA1" w:rsidRPr="00B42917" w:rsidRDefault="004D5DA1" w:rsidP="00B42917">
      <w:pPr>
        <w:pBdr>
          <w:top w:val="single" w:sz="4" w:space="1" w:color="auto"/>
          <w:left w:val="single" w:sz="4" w:space="4" w:color="auto"/>
          <w:bottom w:val="single" w:sz="4" w:space="1" w:color="auto"/>
          <w:right w:val="single" w:sz="4" w:space="4" w:color="auto"/>
        </w:pBdr>
        <w:jc w:val="both"/>
        <w:rPr>
          <w:sz w:val="20"/>
          <w:szCs w:val="20"/>
        </w:rPr>
      </w:pPr>
      <w:r w:rsidRPr="00B42917">
        <w:rPr>
          <w:sz w:val="20"/>
          <w:szCs w:val="20"/>
        </w:rPr>
        <w:t>À ces égards, certains travaux parlementaires ainsi qu’une partie de la doctrine semblent privilégier une inscription à la suite de l’article 66-1 sur l’interdiction de la peine de mort</w:t>
      </w:r>
      <w:hyperlink r:id="rId25" w:anchor="ftn7" w:history="1">
        <w:r w:rsidRPr="00B42917">
          <w:rPr>
            <w:rStyle w:val="Lienhypertexte"/>
            <w:sz w:val="20"/>
            <w:szCs w:val="20"/>
          </w:rPr>
          <w:t>7</w:t>
        </w:r>
      </w:hyperlink>
      <w:r w:rsidRPr="00B42917">
        <w:rPr>
          <w:sz w:val="20"/>
          <w:szCs w:val="20"/>
        </w:rPr>
        <w:t>, avec une référence expresse à l’interruption volontaire de grossesse, sous une forme comparable à celle proposée par le groupe parlementaire Renaissance et apparentés qui propose un article 66-2 ainsi libellé : « Nul ne peut être privé du droit à l’interruption volontaire de grossesse »</w:t>
      </w:r>
      <w:hyperlink r:id="rId26" w:anchor="ftn8" w:history="1">
        <w:r w:rsidRPr="00B42917">
          <w:rPr>
            <w:rStyle w:val="Lienhypertexte"/>
            <w:sz w:val="20"/>
            <w:szCs w:val="20"/>
          </w:rPr>
          <w:t>8</w:t>
        </w:r>
      </w:hyperlink>
      <w:r w:rsidRPr="00B42917">
        <w:rPr>
          <w:sz w:val="20"/>
          <w:szCs w:val="20"/>
        </w:rPr>
        <w:t>.</w:t>
      </w:r>
    </w:p>
    <w:p w14:paraId="60182DCA" w14:textId="77777777" w:rsidR="004D5DA1" w:rsidRPr="00B42917" w:rsidRDefault="004D5DA1" w:rsidP="00B42917">
      <w:pPr>
        <w:pBdr>
          <w:top w:val="single" w:sz="4" w:space="1" w:color="auto"/>
          <w:left w:val="single" w:sz="4" w:space="4" w:color="auto"/>
          <w:bottom w:val="single" w:sz="4" w:space="1" w:color="auto"/>
          <w:right w:val="single" w:sz="4" w:space="4" w:color="auto"/>
        </w:pBdr>
        <w:jc w:val="both"/>
        <w:rPr>
          <w:sz w:val="20"/>
          <w:szCs w:val="20"/>
        </w:rPr>
      </w:pPr>
      <w:r w:rsidRPr="00B42917">
        <w:rPr>
          <w:sz w:val="20"/>
          <w:szCs w:val="20"/>
        </w:rPr>
        <w:t>Selon certaines propositions, le droit à l’IVG pourrait également être consacré par l’article 34 de la Constitution qui fixe le domaine de la loi. Une telle option conférerait effectivement au droit à l’avortement une valeur supra législative, au même titre que l’enseignement ou la préservation de l’environnement, tout en laissant au législateur la charge d’en déterminer les contours et modalités.</w:t>
      </w:r>
    </w:p>
    <w:p w14:paraId="1AA17ED1" w14:textId="77777777" w:rsidR="004D5DA1" w:rsidRPr="00B42917" w:rsidRDefault="004D5DA1" w:rsidP="00B42917">
      <w:pPr>
        <w:pBdr>
          <w:top w:val="single" w:sz="4" w:space="1" w:color="auto"/>
          <w:left w:val="single" w:sz="4" w:space="4" w:color="auto"/>
          <w:bottom w:val="single" w:sz="4" w:space="1" w:color="auto"/>
          <w:right w:val="single" w:sz="4" w:space="4" w:color="auto"/>
        </w:pBdr>
        <w:jc w:val="both"/>
        <w:rPr>
          <w:sz w:val="20"/>
          <w:szCs w:val="20"/>
        </w:rPr>
      </w:pPr>
      <w:r w:rsidRPr="00B42917">
        <w:rPr>
          <w:sz w:val="20"/>
          <w:szCs w:val="20"/>
        </w:rPr>
        <w:t>Enfin l’article 1</w:t>
      </w:r>
      <w:r w:rsidRPr="00B42917">
        <w:rPr>
          <w:rStyle w:val="cexposant"/>
          <w:sz w:val="20"/>
          <w:szCs w:val="20"/>
        </w:rPr>
        <w:t>er</w:t>
      </w:r>
      <w:r w:rsidRPr="00B42917">
        <w:rPr>
          <w:sz w:val="20"/>
          <w:szCs w:val="20"/>
        </w:rPr>
        <w:t xml:space="preserve"> de la Constitution a également été évoqué dans la rédaction suivante : « La loi garantit le respect de l’autonomie personnelle, les droits procréatifs et l’accès aux soins et services de santé. Toute personne a droit à une contraception adaptée et gratuite ainsi que de recourir librement et gratuitement à l’interruption volontaire de grossesse, dans un délai garanti par la loi d’au moins 14 semaines de grossesse »</w:t>
      </w:r>
      <w:hyperlink r:id="rId27" w:anchor="ftn9" w:history="1">
        <w:r w:rsidRPr="00B42917">
          <w:rPr>
            <w:rStyle w:val="Lienhypertexte"/>
            <w:sz w:val="20"/>
            <w:szCs w:val="20"/>
          </w:rPr>
          <w:t>9</w:t>
        </w:r>
      </w:hyperlink>
      <w:r w:rsidRPr="00B42917">
        <w:rPr>
          <w:sz w:val="20"/>
          <w:szCs w:val="20"/>
        </w:rPr>
        <w:t>. Le droit à l’IVG prendrait ainsi une place après le principe de parité</w:t>
      </w:r>
      <w:hyperlink r:id="rId28" w:anchor="ftn10" w:history="1">
        <w:r w:rsidRPr="00B42917">
          <w:rPr>
            <w:rStyle w:val="Lienhypertexte"/>
            <w:sz w:val="20"/>
            <w:szCs w:val="20"/>
          </w:rPr>
          <w:t>10</w:t>
        </w:r>
      </w:hyperlink>
      <w:r w:rsidRPr="00B42917">
        <w:rPr>
          <w:sz w:val="20"/>
          <w:szCs w:val="20"/>
        </w:rPr>
        <w:t xml:space="preserve"> faisant du recours à l’avortement un moyen de l’équité des genres.</w:t>
      </w:r>
    </w:p>
    <w:p w14:paraId="408AE900" w14:textId="77777777" w:rsidR="004D5DA1" w:rsidRPr="00B42917" w:rsidRDefault="004D5DA1" w:rsidP="00B42917">
      <w:pPr>
        <w:pBdr>
          <w:top w:val="single" w:sz="4" w:space="1" w:color="auto"/>
          <w:left w:val="single" w:sz="4" w:space="4" w:color="auto"/>
          <w:bottom w:val="single" w:sz="4" w:space="1" w:color="auto"/>
          <w:right w:val="single" w:sz="4" w:space="4" w:color="auto"/>
        </w:pBdr>
        <w:jc w:val="both"/>
        <w:rPr>
          <w:sz w:val="20"/>
          <w:szCs w:val="20"/>
        </w:rPr>
      </w:pPr>
      <w:r w:rsidRPr="00B42917">
        <w:rPr>
          <w:sz w:val="20"/>
          <w:szCs w:val="20"/>
        </w:rPr>
        <w:t>Néanmoins, tant au regard de leur portée que de leur objet, aucune des propositions ci-dessus, aussi riches soient-elles au regard de leur contribution au débat public, ne semble parfaitement satisfaisante.</w:t>
      </w:r>
    </w:p>
    <w:p w14:paraId="2C196D02" w14:textId="77777777" w:rsidR="004D5DA1" w:rsidRPr="00B42917" w:rsidRDefault="004D5DA1" w:rsidP="00B42917">
      <w:pPr>
        <w:pBdr>
          <w:top w:val="single" w:sz="4" w:space="1" w:color="auto"/>
          <w:left w:val="single" w:sz="4" w:space="4" w:color="auto"/>
          <w:bottom w:val="single" w:sz="4" w:space="1" w:color="auto"/>
          <w:right w:val="single" w:sz="4" w:space="4" w:color="auto"/>
        </w:pBdr>
        <w:jc w:val="both"/>
        <w:rPr>
          <w:sz w:val="20"/>
          <w:szCs w:val="20"/>
        </w:rPr>
      </w:pPr>
      <w:r w:rsidRPr="00B42917">
        <w:rPr>
          <w:sz w:val="20"/>
          <w:szCs w:val="20"/>
        </w:rPr>
        <w:t>En effet, chacune des propositions évoquées ci-dessus envisage l’inscription d’un droit express à l’IVG dans la Constitution. Or il pourrait être opposé à ces propositions que leur mise en place serait contraire à la portée universaliste de ce texte dans la mesure où le droit à l’avortement est, par essence, un droit genré. En outre, le droit à l’IVG, pour aussi central qu’il puisse être, semble bien spécifique au regard de la formulation généraliste de la Constitution s’il devait être consacré comme tel.</w:t>
      </w:r>
    </w:p>
    <w:p w14:paraId="6677AE8E" w14:textId="77777777" w:rsidR="004D5DA1" w:rsidRPr="00B42917" w:rsidRDefault="004D5DA1" w:rsidP="00B42917">
      <w:pPr>
        <w:pBdr>
          <w:top w:val="single" w:sz="4" w:space="1" w:color="auto"/>
          <w:left w:val="single" w:sz="4" w:space="4" w:color="auto"/>
          <w:bottom w:val="single" w:sz="4" w:space="1" w:color="auto"/>
          <w:right w:val="single" w:sz="4" w:space="4" w:color="auto"/>
        </w:pBdr>
        <w:jc w:val="both"/>
        <w:rPr>
          <w:sz w:val="20"/>
          <w:szCs w:val="20"/>
        </w:rPr>
      </w:pPr>
      <w:r w:rsidRPr="00B42917">
        <w:rPr>
          <w:sz w:val="20"/>
          <w:szCs w:val="20"/>
        </w:rPr>
        <w:t>Une alternative pourrait donc consister, à l’époque où ces problématiques sont largement présentes dans le débat public, d’intégrer au bloc de constitutionnalité un texte relatif aux principes et droits fondamentaux en matière bioéthique sur le schéma de la charte de l’environnement.</w:t>
      </w:r>
    </w:p>
    <w:p w14:paraId="18706CB5" w14:textId="77777777" w:rsidR="004D5DA1" w:rsidRPr="00B42917" w:rsidRDefault="004D5DA1" w:rsidP="00B42917">
      <w:pPr>
        <w:pBdr>
          <w:top w:val="single" w:sz="4" w:space="1" w:color="auto"/>
          <w:left w:val="single" w:sz="4" w:space="4" w:color="auto"/>
          <w:bottom w:val="single" w:sz="4" w:space="1" w:color="auto"/>
          <w:right w:val="single" w:sz="4" w:space="4" w:color="auto"/>
        </w:pBdr>
        <w:jc w:val="both"/>
        <w:rPr>
          <w:sz w:val="20"/>
          <w:szCs w:val="20"/>
        </w:rPr>
      </w:pPr>
      <w:r w:rsidRPr="00B42917">
        <w:rPr>
          <w:sz w:val="20"/>
          <w:szCs w:val="20"/>
        </w:rPr>
        <w:t>Quoi qu’il en soit et quelles qu’en soient les formes, l’inscription du droit à l’IVG dans la Constitution se heurte à la nécessité du consensus au niveau parlementaire, lequel semble difficile à atteindre</w:t>
      </w:r>
      <w:hyperlink r:id="rId29" w:anchor="ftn11" w:history="1">
        <w:r w:rsidRPr="00B42917">
          <w:rPr>
            <w:rStyle w:val="Lienhypertexte"/>
            <w:sz w:val="20"/>
            <w:szCs w:val="20"/>
          </w:rPr>
          <w:t>11</w:t>
        </w:r>
      </w:hyperlink>
      <w:r w:rsidRPr="00B42917">
        <w:rPr>
          <w:sz w:val="20"/>
          <w:szCs w:val="20"/>
        </w:rPr>
        <w:t xml:space="preserve"> tant sur la pertinence que sur les modalités de cette inscription. À moins qu’il ne soit procédé à un référendum constitutionnel, au risque néanmoins de voir celui-ci travesti en plébiscite et que les Français ne se prononcent pas sur la question de fond qui leur est soumise.</w:t>
      </w:r>
    </w:p>
    <w:p w14:paraId="413D7330" w14:textId="64304494" w:rsidR="00F97F60" w:rsidRPr="00B42917" w:rsidRDefault="004D5DA1" w:rsidP="00B4291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r w:rsidRPr="00B42917">
        <w:rPr>
          <w:sz w:val="20"/>
          <w:szCs w:val="20"/>
        </w:rPr>
        <w:t>Enfin, au-delà des stricts aspects juridiques, la consécration de l’IVG en tant que droit fondamental pose également la question de sa mise en œuvre concrète au regard de l’inégalité de l’accès aux soins, tant sur le plan géographique que socio-économique.</w:t>
      </w:r>
    </w:p>
    <w:p w14:paraId="2A474520" w14:textId="2AC3C32D" w:rsidR="00B732D3" w:rsidRPr="00B42917" w:rsidRDefault="00B732D3" w:rsidP="00B42917">
      <w:pPr>
        <w:pBdr>
          <w:top w:val="single" w:sz="4" w:space="1" w:color="auto"/>
          <w:left w:val="single" w:sz="4" w:space="4" w:color="auto"/>
          <w:bottom w:val="single" w:sz="4" w:space="1" w:color="auto"/>
          <w:right w:val="single" w:sz="4" w:space="4" w:color="auto"/>
        </w:pBdr>
        <w:jc w:val="both"/>
        <w:rPr>
          <w:sz w:val="20"/>
          <w:szCs w:val="20"/>
        </w:rPr>
      </w:pPr>
    </w:p>
    <w:p w14:paraId="33235962" w14:textId="5AB7E818" w:rsidR="00F22C76" w:rsidRPr="001D39FC" w:rsidRDefault="001D39FC" w:rsidP="001D39FC">
      <w:pPr>
        <w:pBdr>
          <w:top w:val="single" w:sz="4" w:space="1" w:color="auto"/>
          <w:left w:val="single" w:sz="4" w:space="4" w:color="auto"/>
          <w:bottom w:val="single" w:sz="4" w:space="1" w:color="auto"/>
          <w:right w:val="single" w:sz="4" w:space="4" w:color="auto"/>
        </w:pBdr>
        <w:rPr>
          <w:b/>
          <w:bCs/>
          <w:color w:val="4472C4" w:themeColor="accent1"/>
        </w:rPr>
      </w:pPr>
      <w:r w:rsidRPr="001D39FC">
        <w:rPr>
          <w:b/>
          <w:bCs/>
          <w:color w:val="4472C4" w:themeColor="accent1"/>
        </w:rPr>
        <w:t>Questions</w:t>
      </w:r>
    </w:p>
    <w:p w14:paraId="5C4FD5E8" w14:textId="77E49BD1" w:rsidR="001D39FC" w:rsidRPr="001D39FC" w:rsidRDefault="001D39FC" w:rsidP="001D39FC">
      <w:pPr>
        <w:pBdr>
          <w:top w:val="single" w:sz="4" w:space="1" w:color="auto"/>
          <w:left w:val="single" w:sz="4" w:space="4" w:color="auto"/>
          <w:bottom w:val="single" w:sz="4" w:space="1" w:color="auto"/>
          <w:right w:val="single" w:sz="4" w:space="4" w:color="auto"/>
        </w:pBdr>
        <w:rPr>
          <w:color w:val="4472C4" w:themeColor="accent1"/>
        </w:rPr>
      </w:pPr>
      <w:r>
        <w:rPr>
          <w:color w:val="4472C4" w:themeColor="accent1"/>
        </w:rPr>
        <w:t>1.</w:t>
      </w:r>
      <w:r w:rsidRPr="001D39FC">
        <w:rPr>
          <w:color w:val="4472C4" w:themeColor="accent1"/>
        </w:rPr>
        <w:t>Pourquoi les auteurs de l’article jugent-ils qu’aucune des propositions avancées n’est pleinement satisfaisante ?</w:t>
      </w:r>
    </w:p>
    <w:p w14:paraId="7FDE53C8" w14:textId="1DB15063" w:rsidR="001D39FC" w:rsidRPr="001D39FC" w:rsidRDefault="001D39FC" w:rsidP="001D39FC">
      <w:pPr>
        <w:pBdr>
          <w:top w:val="single" w:sz="4" w:space="1" w:color="auto"/>
          <w:left w:val="single" w:sz="4" w:space="4" w:color="auto"/>
          <w:bottom w:val="single" w:sz="4" w:space="1" w:color="auto"/>
          <w:right w:val="single" w:sz="4" w:space="4" w:color="auto"/>
        </w:pBdr>
        <w:rPr>
          <w:color w:val="4472C4" w:themeColor="accent1"/>
        </w:rPr>
      </w:pPr>
      <w:r>
        <w:rPr>
          <w:color w:val="4472C4" w:themeColor="accent1"/>
        </w:rPr>
        <w:t>2.</w:t>
      </w:r>
      <w:r w:rsidRPr="001D39FC">
        <w:rPr>
          <w:color w:val="4472C4" w:themeColor="accent1"/>
        </w:rPr>
        <w:t>Quelle solution alternative est proposée ?</w:t>
      </w:r>
    </w:p>
    <w:p w14:paraId="3082EB61" w14:textId="76CFC6C6" w:rsidR="00F22C76" w:rsidRDefault="001D39FC" w:rsidP="001D39FC">
      <w:pPr>
        <w:pBdr>
          <w:top w:val="single" w:sz="4" w:space="1" w:color="auto"/>
          <w:left w:val="single" w:sz="4" w:space="4" w:color="auto"/>
          <w:bottom w:val="single" w:sz="4" w:space="1" w:color="auto"/>
          <w:right w:val="single" w:sz="4" w:space="4" w:color="auto"/>
        </w:pBdr>
        <w:rPr>
          <w:color w:val="4472C4" w:themeColor="accent1"/>
        </w:rPr>
      </w:pPr>
      <w:r>
        <w:rPr>
          <w:color w:val="4472C4" w:themeColor="accent1"/>
        </w:rPr>
        <w:lastRenderedPageBreak/>
        <w:t>3.</w:t>
      </w:r>
      <w:r w:rsidRPr="001D39FC">
        <w:rPr>
          <w:color w:val="4472C4" w:themeColor="accent1"/>
        </w:rPr>
        <w:t xml:space="preserve">Quels problèmes peuvent se poser quant à la mise en œuvre concrète de la consécration de </w:t>
      </w:r>
      <w:proofErr w:type="gramStart"/>
      <w:r w:rsidRPr="001D39FC">
        <w:rPr>
          <w:color w:val="4472C4" w:themeColor="accent1"/>
        </w:rPr>
        <w:t>l’ IVG</w:t>
      </w:r>
      <w:proofErr w:type="gramEnd"/>
      <w:r w:rsidRPr="001D39FC">
        <w:rPr>
          <w:color w:val="4472C4" w:themeColor="accent1"/>
        </w:rPr>
        <w:t xml:space="preserve"> comme droit fondamental ?</w:t>
      </w:r>
    </w:p>
    <w:p w14:paraId="2E009769" w14:textId="67BD636B" w:rsidR="001D39FC" w:rsidRDefault="001D39FC" w:rsidP="001D39FC">
      <w:pPr>
        <w:pBdr>
          <w:bottom w:val="single" w:sz="4" w:space="1" w:color="auto"/>
        </w:pBdr>
        <w:rPr>
          <w:color w:val="4472C4" w:themeColor="accent1"/>
        </w:rPr>
      </w:pPr>
    </w:p>
    <w:p w14:paraId="679BFCA0" w14:textId="77777777" w:rsidR="001D39FC" w:rsidRPr="001D39FC" w:rsidRDefault="001D39FC" w:rsidP="001D39FC">
      <w:pPr>
        <w:pBdr>
          <w:bottom w:val="single" w:sz="4" w:space="1" w:color="auto"/>
        </w:pBdr>
        <w:rPr>
          <w:color w:val="4472C4" w:themeColor="accent1"/>
        </w:rPr>
      </w:pPr>
    </w:p>
    <w:p w14:paraId="172F5440" w14:textId="0DBFEA74" w:rsidR="00F22C76" w:rsidRPr="00B42917" w:rsidRDefault="00F22C76" w:rsidP="00B42917">
      <w:pPr>
        <w:pBdr>
          <w:top w:val="single" w:sz="4" w:space="1" w:color="auto"/>
          <w:left w:val="single" w:sz="4" w:space="4" w:color="auto"/>
          <w:bottom w:val="single" w:sz="4" w:space="1" w:color="auto"/>
          <w:right w:val="single" w:sz="4" w:space="4" w:color="auto"/>
        </w:pBdr>
        <w:rPr>
          <w:sz w:val="20"/>
          <w:szCs w:val="20"/>
        </w:rPr>
      </w:pPr>
    </w:p>
    <w:p w14:paraId="12262501" w14:textId="77777777" w:rsidR="00EF387A" w:rsidRPr="00B42917" w:rsidRDefault="00EF387A" w:rsidP="00B42917">
      <w:pPr>
        <w:pBdr>
          <w:top w:val="single" w:sz="4" w:space="1" w:color="auto"/>
          <w:left w:val="single" w:sz="4" w:space="4" w:color="auto"/>
          <w:bottom w:val="single" w:sz="4" w:space="1" w:color="auto"/>
          <w:right w:val="single" w:sz="4" w:space="4" w:color="auto"/>
        </w:pBdr>
        <w:rPr>
          <w:sz w:val="20"/>
          <w:szCs w:val="20"/>
        </w:rPr>
      </w:pPr>
      <w:r w:rsidRPr="00B42917">
        <w:rPr>
          <w:sz w:val="20"/>
          <w:szCs w:val="20"/>
        </w:rPr>
        <w:t>Document 5 : « </w:t>
      </w:r>
      <w:r w:rsidRPr="00B42917">
        <w:rPr>
          <w:rStyle w:val="text"/>
          <w:sz w:val="20"/>
          <w:szCs w:val="20"/>
        </w:rPr>
        <w:t xml:space="preserve">Pourquoi et comment constitutionnaliser le droit à l’avortement », par </w:t>
      </w:r>
      <w:r w:rsidRPr="00B42917">
        <w:rPr>
          <w:rStyle w:val="lev"/>
          <w:rFonts w:cstheme="minorHAnsi"/>
          <w:sz w:val="20"/>
          <w:szCs w:val="20"/>
        </w:rPr>
        <w:t xml:space="preserve">Stéphanie </w:t>
      </w:r>
      <w:proofErr w:type="spellStart"/>
      <w:r w:rsidRPr="00B42917">
        <w:rPr>
          <w:rStyle w:val="familyname"/>
          <w:rFonts w:cstheme="minorHAnsi"/>
          <w:b/>
          <w:bCs/>
          <w:sz w:val="20"/>
          <w:szCs w:val="20"/>
        </w:rPr>
        <w:t>Hennette</w:t>
      </w:r>
      <w:proofErr w:type="spellEnd"/>
      <w:r w:rsidRPr="00B42917">
        <w:rPr>
          <w:rStyle w:val="familyname"/>
          <w:rFonts w:cstheme="minorHAnsi"/>
          <w:b/>
          <w:bCs/>
          <w:sz w:val="20"/>
          <w:szCs w:val="20"/>
        </w:rPr>
        <w:t>-Vauchez</w:t>
      </w:r>
      <w:r w:rsidRPr="00B42917">
        <w:rPr>
          <w:rStyle w:val="lev"/>
          <w:rFonts w:cstheme="minorHAnsi"/>
          <w:sz w:val="20"/>
          <w:szCs w:val="20"/>
        </w:rPr>
        <w:t xml:space="preserve">, Diane </w:t>
      </w:r>
      <w:r w:rsidRPr="00B42917">
        <w:rPr>
          <w:rStyle w:val="familyname"/>
          <w:rFonts w:cstheme="minorHAnsi"/>
          <w:b/>
          <w:bCs/>
          <w:sz w:val="20"/>
          <w:szCs w:val="20"/>
        </w:rPr>
        <w:t>Roman</w:t>
      </w:r>
      <w:r w:rsidRPr="00B42917">
        <w:rPr>
          <w:rStyle w:val="lev"/>
          <w:rFonts w:cstheme="minorHAnsi"/>
          <w:sz w:val="20"/>
          <w:szCs w:val="20"/>
        </w:rPr>
        <w:t xml:space="preserve"> et Serge </w:t>
      </w:r>
      <w:r w:rsidRPr="00B42917">
        <w:rPr>
          <w:rStyle w:val="familyname"/>
          <w:rFonts w:cstheme="minorHAnsi"/>
          <w:b/>
          <w:bCs/>
          <w:sz w:val="20"/>
          <w:szCs w:val="20"/>
        </w:rPr>
        <w:t xml:space="preserve">Slama : </w:t>
      </w:r>
      <w:hyperlink r:id="rId30" w:history="1">
        <w:r w:rsidRPr="00B42917">
          <w:rPr>
            <w:rStyle w:val="Lienhypertexte"/>
            <w:rFonts w:cstheme="minorHAnsi"/>
            <w:sz w:val="20"/>
            <w:szCs w:val="20"/>
          </w:rPr>
          <w:t>https://doi.org/10.4000/revdh.14979</w:t>
        </w:r>
      </w:hyperlink>
    </w:p>
    <w:p w14:paraId="5C6658D9" w14:textId="77777777" w:rsidR="00EF387A" w:rsidRPr="00B42917" w:rsidRDefault="00EF387A" w:rsidP="00B42917">
      <w:pPr>
        <w:pBdr>
          <w:top w:val="single" w:sz="4" w:space="1" w:color="auto"/>
          <w:left w:val="single" w:sz="4" w:space="4" w:color="auto"/>
          <w:bottom w:val="single" w:sz="4" w:space="1" w:color="auto"/>
          <w:right w:val="single" w:sz="4" w:space="4" w:color="auto"/>
        </w:pBdr>
        <w:rPr>
          <w:sz w:val="20"/>
          <w:szCs w:val="20"/>
        </w:rPr>
      </w:pPr>
      <w:r w:rsidRPr="00B42917">
        <w:rPr>
          <w:sz w:val="20"/>
          <w:szCs w:val="20"/>
        </w:rPr>
        <w:t>Article qui apporte une réponse aux objections précédemment avancées. Article difficile qui doit être explicité par le professeur.</w:t>
      </w:r>
    </w:p>
    <w:p w14:paraId="306A4F80" w14:textId="27746A99" w:rsidR="00F22C76" w:rsidRPr="00B42917" w:rsidRDefault="00F22C76" w:rsidP="00B42917">
      <w:pPr>
        <w:pBdr>
          <w:top w:val="single" w:sz="4" w:space="1" w:color="auto"/>
          <w:left w:val="single" w:sz="4" w:space="4" w:color="auto"/>
          <w:bottom w:val="single" w:sz="4" w:space="1" w:color="auto"/>
          <w:right w:val="single" w:sz="4" w:space="4" w:color="auto"/>
        </w:pBdr>
        <w:rPr>
          <w:sz w:val="20"/>
          <w:szCs w:val="20"/>
        </w:rPr>
      </w:pPr>
    </w:p>
    <w:p w14:paraId="382A3E08" w14:textId="06C272DB" w:rsidR="00C14B1F" w:rsidRPr="00C14B1F" w:rsidRDefault="00C14B1F" w:rsidP="00C14B1F">
      <w:pPr>
        <w:pStyle w:val="Titre1"/>
        <w:rPr>
          <w:sz w:val="32"/>
          <w:szCs w:val="32"/>
        </w:rPr>
      </w:pPr>
      <w:bookmarkStart w:id="6" w:name="_Toc115498523"/>
      <w:r w:rsidRPr="00C14B1F">
        <w:rPr>
          <w:sz w:val="32"/>
          <w:szCs w:val="32"/>
          <w:highlight w:val="yellow"/>
        </w:rPr>
        <w:t>Tâche finale et prolongements</w:t>
      </w:r>
      <w:bookmarkEnd w:id="6"/>
    </w:p>
    <w:p w14:paraId="11020F4B" w14:textId="77777777" w:rsidR="00C14B1F" w:rsidRDefault="00C14B1F" w:rsidP="0045785E"/>
    <w:p w14:paraId="26D4B47F" w14:textId="645EEE2D" w:rsidR="00F22C76" w:rsidRDefault="00EF387A" w:rsidP="0045785E">
      <w:r w:rsidRPr="00983CEE">
        <w:rPr>
          <w:highlight w:val="cyan"/>
        </w:rPr>
        <w:t>Mise en activité</w:t>
      </w:r>
      <w:r>
        <w:t xml:space="preserve"> </w:t>
      </w:r>
    </w:p>
    <w:p w14:paraId="28E4177B" w14:textId="51658912" w:rsidR="0045785E" w:rsidRDefault="0045785E" w:rsidP="0045785E"/>
    <w:p w14:paraId="3F486B01" w14:textId="77777777" w:rsidR="0045785E" w:rsidRDefault="0045785E" w:rsidP="0045785E">
      <w:pPr>
        <w:pBdr>
          <w:top w:val="single" w:sz="4" w:space="1" w:color="auto"/>
          <w:left w:val="single" w:sz="4" w:space="4" w:color="auto"/>
          <w:bottom w:val="single" w:sz="4" w:space="1" w:color="auto"/>
          <w:right w:val="single" w:sz="4" w:space="4" w:color="auto"/>
        </w:pBdr>
      </w:pPr>
    </w:p>
    <w:p w14:paraId="3F3A3400" w14:textId="7DB24916" w:rsidR="00EF387A" w:rsidRPr="0045785E" w:rsidRDefault="00983CEE" w:rsidP="0045785E">
      <w:pPr>
        <w:pBdr>
          <w:top w:val="single" w:sz="4" w:space="1" w:color="auto"/>
          <w:left w:val="single" w:sz="4" w:space="4" w:color="auto"/>
          <w:bottom w:val="single" w:sz="4" w:space="1" w:color="auto"/>
          <w:right w:val="single" w:sz="4" w:space="4" w:color="auto"/>
        </w:pBdr>
        <w:rPr>
          <w:rFonts w:cstheme="minorHAnsi"/>
          <w:b/>
          <w:bCs/>
          <w:color w:val="4472C4" w:themeColor="accent1"/>
        </w:rPr>
      </w:pPr>
      <w:r w:rsidRPr="0045785E">
        <w:rPr>
          <w:rFonts w:cstheme="minorHAnsi"/>
          <w:b/>
          <w:bCs/>
          <w:color w:val="4472C4" w:themeColor="accent1"/>
        </w:rPr>
        <w:t xml:space="preserve">1. </w:t>
      </w:r>
      <w:r w:rsidR="00EF387A" w:rsidRPr="0045785E">
        <w:rPr>
          <w:rFonts w:cstheme="minorHAnsi"/>
          <w:b/>
          <w:bCs/>
          <w:color w:val="4472C4" w:themeColor="accent1"/>
        </w:rPr>
        <w:t>Tâche finale : Réalisation d’un tableau synthétique avec les arguments contre et les réponses aux objections.</w:t>
      </w:r>
    </w:p>
    <w:p w14:paraId="1885574A" w14:textId="10ACC3C5" w:rsidR="00983CEE" w:rsidRDefault="00983CEE" w:rsidP="0045785E">
      <w:pPr>
        <w:pBdr>
          <w:top w:val="single" w:sz="4" w:space="1" w:color="auto"/>
          <w:left w:val="single" w:sz="4" w:space="4" w:color="auto"/>
          <w:bottom w:val="single" w:sz="4" w:space="1" w:color="auto"/>
          <w:right w:val="single" w:sz="4" w:space="4" w:color="auto"/>
        </w:pBdr>
        <w:rPr>
          <w:color w:val="4472C4" w:themeColor="accent1"/>
        </w:rPr>
      </w:pPr>
      <w:r>
        <w:rPr>
          <w:color w:val="4472C4" w:themeColor="accent1"/>
        </w:rPr>
        <w:t>2. Prolongements (à faire au choix)</w:t>
      </w:r>
    </w:p>
    <w:p w14:paraId="0A59A56A" w14:textId="0C01C2FA" w:rsidR="00983CEE" w:rsidRPr="00983CEE" w:rsidRDefault="00EF387A" w:rsidP="0045785E">
      <w:pPr>
        <w:pBdr>
          <w:top w:val="single" w:sz="4" w:space="1" w:color="auto"/>
          <w:left w:val="single" w:sz="4" w:space="4" w:color="auto"/>
          <w:bottom w:val="single" w:sz="4" w:space="1" w:color="auto"/>
          <w:right w:val="single" w:sz="4" w:space="4" w:color="auto"/>
        </w:pBdr>
        <w:rPr>
          <w:color w:val="4472C4" w:themeColor="accent1"/>
        </w:rPr>
      </w:pPr>
      <w:r w:rsidRPr="00983CEE">
        <w:rPr>
          <w:color w:val="4472C4" w:themeColor="accent1"/>
        </w:rPr>
        <w:t>Vous êtes député </w:t>
      </w:r>
      <w:r w:rsidR="00983CEE">
        <w:rPr>
          <w:color w:val="4472C4" w:themeColor="accent1"/>
        </w:rPr>
        <w:t>ou sénateur :</w:t>
      </w:r>
    </w:p>
    <w:p w14:paraId="4C7853F8" w14:textId="7505BE86" w:rsidR="00EF387A" w:rsidRPr="00983CEE" w:rsidRDefault="00983CEE" w:rsidP="0045785E">
      <w:pPr>
        <w:pBdr>
          <w:top w:val="single" w:sz="4" w:space="1" w:color="auto"/>
          <w:left w:val="single" w:sz="4" w:space="4" w:color="auto"/>
          <w:bottom w:val="single" w:sz="4" w:space="1" w:color="auto"/>
          <w:right w:val="single" w:sz="4" w:space="4" w:color="auto"/>
        </w:pBdr>
        <w:rPr>
          <w:color w:val="4472C4" w:themeColor="accent1"/>
        </w:rPr>
      </w:pPr>
      <w:r>
        <w:rPr>
          <w:color w:val="4472C4" w:themeColor="accent1"/>
        </w:rPr>
        <w:t>-</w:t>
      </w:r>
      <w:r w:rsidR="00EF387A" w:rsidRPr="00983CEE">
        <w:rPr>
          <w:color w:val="4472C4" w:themeColor="accent1"/>
        </w:rPr>
        <w:t xml:space="preserve">préparez un discours à l’assemblée en faveur de la constitutionnalisation du droit à </w:t>
      </w:r>
      <w:proofErr w:type="gramStart"/>
      <w:r w:rsidR="00EF387A" w:rsidRPr="00983CEE">
        <w:rPr>
          <w:color w:val="4472C4" w:themeColor="accent1"/>
        </w:rPr>
        <w:t>l’ IVG</w:t>
      </w:r>
      <w:proofErr w:type="gramEnd"/>
      <w:r w:rsidR="00ED7D67" w:rsidRPr="00983CEE">
        <w:rPr>
          <w:color w:val="4472C4" w:themeColor="accent1"/>
        </w:rPr>
        <w:t xml:space="preserve"> </w:t>
      </w:r>
      <w:r w:rsidRPr="00983CEE">
        <w:rPr>
          <w:color w:val="4472C4" w:themeColor="accent1"/>
        </w:rPr>
        <w:t>.</w:t>
      </w:r>
    </w:p>
    <w:p w14:paraId="50E7BA76" w14:textId="786B01DA" w:rsidR="00983CEE" w:rsidRPr="00983CEE" w:rsidRDefault="00983CEE" w:rsidP="0045785E">
      <w:pPr>
        <w:pBdr>
          <w:top w:val="single" w:sz="4" w:space="1" w:color="auto"/>
          <w:left w:val="single" w:sz="4" w:space="4" w:color="auto"/>
          <w:bottom w:val="single" w:sz="4" w:space="1" w:color="auto"/>
          <w:right w:val="single" w:sz="4" w:space="4" w:color="auto"/>
        </w:pBdr>
        <w:rPr>
          <w:color w:val="4472C4" w:themeColor="accent1"/>
        </w:rPr>
      </w:pPr>
      <w:r>
        <w:rPr>
          <w:color w:val="4472C4" w:themeColor="accent1"/>
        </w:rPr>
        <w:t>-</w:t>
      </w:r>
      <w:r w:rsidRPr="00983CEE">
        <w:rPr>
          <w:color w:val="4472C4" w:themeColor="accent1"/>
        </w:rPr>
        <w:t xml:space="preserve">Préparez un discours contre une telle inscription </w:t>
      </w:r>
    </w:p>
    <w:p w14:paraId="78A72F7C" w14:textId="77777777" w:rsidR="00983CEE" w:rsidRDefault="00983CEE" w:rsidP="0045785E">
      <w:pPr>
        <w:pBdr>
          <w:top w:val="single" w:sz="4" w:space="1" w:color="auto"/>
          <w:left w:val="single" w:sz="4" w:space="4" w:color="auto"/>
          <w:bottom w:val="single" w:sz="4" w:space="1" w:color="auto"/>
          <w:right w:val="single" w:sz="4" w:space="4" w:color="auto"/>
        </w:pBdr>
        <w:rPr>
          <w:color w:val="4472C4" w:themeColor="accent1"/>
        </w:rPr>
      </w:pPr>
    </w:p>
    <w:p w14:paraId="15E82559" w14:textId="1E50C467" w:rsidR="00ED7D67" w:rsidRPr="00983CEE" w:rsidRDefault="00ED7D67" w:rsidP="0045785E">
      <w:pPr>
        <w:pBdr>
          <w:top w:val="single" w:sz="4" w:space="1" w:color="auto"/>
          <w:left w:val="single" w:sz="4" w:space="4" w:color="auto"/>
          <w:bottom w:val="single" w:sz="4" w:space="1" w:color="auto"/>
          <w:right w:val="single" w:sz="4" w:space="4" w:color="auto"/>
        </w:pBdr>
        <w:rPr>
          <w:color w:val="4472C4" w:themeColor="accent1"/>
        </w:rPr>
      </w:pPr>
      <w:r w:rsidRPr="00983CEE">
        <w:rPr>
          <w:color w:val="4472C4" w:themeColor="accent1"/>
        </w:rPr>
        <w:t>Vous êtes un groupe de députés ou de sénateurs : déposez une nouvelle proposition de loi en faveur de l’inscription dans la constitution d’un droit à l’IVG</w:t>
      </w:r>
    </w:p>
    <w:p w14:paraId="756428C8" w14:textId="77777777" w:rsidR="00ED7D67" w:rsidRPr="00983CEE" w:rsidRDefault="00ED7D67" w:rsidP="0045785E">
      <w:pPr>
        <w:pBdr>
          <w:top w:val="single" w:sz="4" w:space="1" w:color="auto"/>
          <w:left w:val="single" w:sz="4" w:space="4" w:color="auto"/>
          <w:bottom w:val="single" w:sz="4" w:space="1" w:color="auto"/>
          <w:right w:val="single" w:sz="4" w:space="4" w:color="auto"/>
        </w:pBdr>
        <w:rPr>
          <w:color w:val="4472C4" w:themeColor="accent1"/>
        </w:rPr>
      </w:pPr>
    </w:p>
    <w:p w14:paraId="44CC6B71" w14:textId="1E7D831C" w:rsidR="00ED7D67" w:rsidRPr="00F22C76" w:rsidRDefault="00ED7D67" w:rsidP="0045785E">
      <w:pPr>
        <w:pBdr>
          <w:top w:val="single" w:sz="4" w:space="1" w:color="auto"/>
          <w:left w:val="single" w:sz="4" w:space="4" w:color="auto"/>
          <w:bottom w:val="single" w:sz="4" w:space="1" w:color="auto"/>
          <w:right w:val="single" w:sz="4" w:space="4" w:color="auto"/>
        </w:pBdr>
      </w:pPr>
    </w:p>
    <w:sectPr w:rsidR="00ED7D67" w:rsidRPr="00F22C76" w:rsidSect="005C6737">
      <w:footerReference w:type="even" r:id="rId31"/>
      <w:footerReference w:type="default" r:id="rId3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371BF" w14:textId="77777777" w:rsidR="004E38A2" w:rsidRDefault="004E38A2" w:rsidP="00983CEE">
      <w:r>
        <w:separator/>
      </w:r>
    </w:p>
  </w:endnote>
  <w:endnote w:type="continuationSeparator" w:id="0">
    <w:p w14:paraId="0A916ACC" w14:textId="77777777" w:rsidR="004E38A2" w:rsidRDefault="004E38A2" w:rsidP="00983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427702879"/>
      <w:docPartObj>
        <w:docPartGallery w:val="Page Numbers (Bottom of Page)"/>
        <w:docPartUnique/>
      </w:docPartObj>
    </w:sdtPr>
    <w:sdtContent>
      <w:p w14:paraId="29A3DDD8" w14:textId="3EE9CDE8" w:rsidR="00983CEE" w:rsidRDefault="00983CEE" w:rsidP="007D18C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1BE3929" w14:textId="77777777" w:rsidR="00983CEE" w:rsidRDefault="00983CEE" w:rsidP="00983CE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91480772"/>
      <w:docPartObj>
        <w:docPartGallery w:val="Page Numbers (Bottom of Page)"/>
        <w:docPartUnique/>
      </w:docPartObj>
    </w:sdtPr>
    <w:sdtContent>
      <w:p w14:paraId="065365D9" w14:textId="1E3F8E47" w:rsidR="00983CEE" w:rsidRDefault="00983CEE" w:rsidP="007D18C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B786F51" w14:textId="77777777" w:rsidR="00983CEE" w:rsidRDefault="00983CEE" w:rsidP="00983CE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1F2F7" w14:textId="77777777" w:rsidR="004E38A2" w:rsidRDefault="004E38A2" w:rsidP="00983CEE">
      <w:r>
        <w:separator/>
      </w:r>
    </w:p>
  </w:footnote>
  <w:footnote w:type="continuationSeparator" w:id="0">
    <w:p w14:paraId="2CC7D33D" w14:textId="77777777" w:rsidR="004E38A2" w:rsidRDefault="004E38A2" w:rsidP="00983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3E2E"/>
    <w:multiLevelType w:val="hybridMultilevel"/>
    <w:tmpl w:val="C1069C50"/>
    <w:lvl w:ilvl="0" w:tplc="D83047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7011C38"/>
    <w:multiLevelType w:val="multilevel"/>
    <w:tmpl w:val="85CE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5C2E61"/>
    <w:multiLevelType w:val="hybridMultilevel"/>
    <w:tmpl w:val="17768C06"/>
    <w:lvl w:ilvl="0" w:tplc="5602E934">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A26255"/>
    <w:multiLevelType w:val="hybridMultilevel"/>
    <w:tmpl w:val="2954F7E4"/>
    <w:lvl w:ilvl="0" w:tplc="5F62A638">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E34D8E"/>
    <w:multiLevelType w:val="hybridMultilevel"/>
    <w:tmpl w:val="15607536"/>
    <w:lvl w:ilvl="0" w:tplc="781AFC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FB542C5"/>
    <w:multiLevelType w:val="multilevel"/>
    <w:tmpl w:val="7008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7670BD"/>
    <w:multiLevelType w:val="hybridMultilevel"/>
    <w:tmpl w:val="AEAA27A8"/>
    <w:lvl w:ilvl="0" w:tplc="9AC6071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F35D62"/>
    <w:multiLevelType w:val="hybridMultilevel"/>
    <w:tmpl w:val="D6787716"/>
    <w:lvl w:ilvl="0" w:tplc="EF9E3A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CC2544B"/>
    <w:multiLevelType w:val="hybridMultilevel"/>
    <w:tmpl w:val="8CC87886"/>
    <w:lvl w:ilvl="0" w:tplc="1B06F96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09487767">
    <w:abstractNumId w:val="6"/>
  </w:num>
  <w:num w:numId="2" w16cid:durableId="73018995">
    <w:abstractNumId w:val="3"/>
  </w:num>
  <w:num w:numId="3" w16cid:durableId="1062799497">
    <w:abstractNumId w:val="2"/>
  </w:num>
  <w:num w:numId="4" w16cid:durableId="1205869745">
    <w:abstractNumId w:val="0"/>
  </w:num>
  <w:num w:numId="5" w16cid:durableId="322899224">
    <w:abstractNumId w:val="7"/>
  </w:num>
  <w:num w:numId="6" w16cid:durableId="1782457353">
    <w:abstractNumId w:val="1"/>
  </w:num>
  <w:num w:numId="7" w16cid:durableId="413671757">
    <w:abstractNumId w:val="4"/>
  </w:num>
  <w:num w:numId="8" w16cid:durableId="1269579546">
    <w:abstractNumId w:val="8"/>
  </w:num>
  <w:num w:numId="9" w16cid:durableId="1627436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966"/>
    <w:rsid w:val="00011610"/>
    <w:rsid w:val="00094389"/>
    <w:rsid w:val="000948D7"/>
    <w:rsid w:val="000C6BB4"/>
    <w:rsid w:val="000D603B"/>
    <w:rsid w:val="000F3D3A"/>
    <w:rsid w:val="00134ED5"/>
    <w:rsid w:val="00143539"/>
    <w:rsid w:val="00194218"/>
    <w:rsid w:val="001D39FC"/>
    <w:rsid w:val="00292289"/>
    <w:rsid w:val="002F3581"/>
    <w:rsid w:val="003329FB"/>
    <w:rsid w:val="003A2E22"/>
    <w:rsid w:val="003D4171"/>
    <w:rsid w:val="003E0140"/>
    <w:rsid w:val="0045785E"/>
    <w:rsid w:val="00465E1B"/>
    <w:rsid w:val="004D5DA1"/>
    <w:rsid w:val="004E38A2"/>
    <w:rsid w:val="004E3FA3"/>
    <w:rsid w:val="00525C42"/>
    <w:rsid w:val="0055074D"/>
    <w:rsid w:val="0056260F"/>
    <w:rsid w:val="0059320A"/>
    <w:rsid w:val="005A285E"/>
    <w:rsid w:val="005C6737"/>
    <w:rsid w:val="00646B09"/>
    <w:rsid w:val="00663735"/>
    <w:rsid w:val="006824E4"/>
    <w:rsid w:val="006854B0"/>
    <w:rsid w:val="007238F3"/>
    <w:rsid w:val="007313D9"/>
    <w:rsid w:val="00772D11"/>
    <w:rsid w:val="00780C3F"/>
    <w:rsid w:val="00784942"/>
    <w:rsid w:val="007C69A2"/>
    <w:rsid w:val="008453AA"/>
    <w:rsid w:val="008466AE"/>
    <w:rsid w:val="00876E12"/>
    <w:rsid w:val="00927A9C"/>
    <w:rsid w:val="00933932"/>
    <w:rsid w:val="00983CEE"/>
    <w:rsid w:val="00A210E0"/>
    <w:rsid w:val="00A75EC8"/>
    <w:rsid w:val="00A9256B"/>
    <w:rsid w:val="00AA1178"/>
    <w:rsid w:val="00AD1FE3"/>
    <w:rsid w:val="00B0735D"/>
    <w:rsid w:val="00B2447A"/>
    <w:rsid w:val="00B42917"/>
    <w:rsid w:val="00B732D3"/>
    <w:rsid w:val="00BF1966"/>
    <w:rsid w:val="00C14789"/>
    <w:rsid w:val="00C14B1F"/>
    <w:rsid w:val="00CA0146"/>
    <w:rsid w:val="00D44F52"/>
    <w:rsid w:val="00E248A1"/>
    <w:rsid w:val="00E47025"/>
    <w:rsid w:val="00E964E0"/>
    <w:rsid w:val="00EB1771"/>
    <w:rsid w:val="00ED7D67"/>
    <w:rsid w:val="00EF387A"/>
    <w:rsid w:val="00F22C76"/>
    <w:rsid w:val="00F351AD"/>
    <w:rsid w:val="00F41F74"/>
    <w:rsid w:val="00F8427F"/>
    <w:rsid w:val="00F939C8"/>
    <w:rsid w:val="00F97F60"/>
    <w:rsid w:val="00FA08BD"/>
    <w:rsid w:val="00FB7F16"/>
    <w:rsid w:val="00FC1C75"/>
    <w:rsid w:val="00FD73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CCAD060"/>
  <w15:docId w15:val="{BF3016C9-A4C0-904E-B66E-50709CF4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BF1966"/>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C14B1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next w:val="Normal"/>
    <w:link w:val="Titre4Car"/>
    <w:uiPriority w:val="9"/>
    <w:semiHidden/>
    <w:unhideWhenUsed/>
    <w:qFormat/>
    <w:rsid w:val="002F3581"/>
    <w:pPr>
      <w:keepNext/>
      <w:keepLines/>
      <w:spacing w:before="40"/>
      <w:outlineLvl w:val="3"/>
    </w:pPr>
    <w:rPr>
      <w:rFonts w:asciiTheme="majorHAnsi" w:eastAsiaTheme="majorEastAsia" w:hAnsiTheme="majorHAnsi" w:cstheme="majorBidi"/>
      <w:i/>
      <w:iCs/>
      <w:color w:val="2F5496" w:themeColor="accent1" w:themeShade="BF"/>
    </w:rPr>
  </w:style>
  <w:style w:type="paragraph" w:styleId="Titre6">
    <w:name w:val="heading 6"/>
    <w:basedOn w:val="Normal"/>
    <w:next w:val="Normal"/>
    <w:link w:val="Titre6Car"/>
    <w:uiPriority w:val="9"/>
    <w:semiHidden/>
    <w:unhideWhenUsed/>
    <w:qFormat/>
    <w:rsid w:val="002F3581"/>
    <w:pPr>
      <w:keepNext/>
      <w:keepLines/>
      <w:spacing w:before="4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1966"/>
    <w:rPr>
      <w:rFonts w:ascii="Times New Roman" w:eastAsia="Times New Roman" w:hAnsi="Times New Roman" w:cs="Times New Roman"/>
      <w:b/>
      <w:bCs/>
      <w:kern w:val="36"/>
      <w:sz w:val="48"/>
      <w:szCs w:val="48"/>
      <w:lang w:eastAsia="fr-FR"/>
    </w:rPr>
  </w:style>
  <w:style w:type="character" w:customStyle="1" w:styleId="cital">
    <w:name w:val="cital"/>
    <w:basedOn w:val="Policepardfaut"/>
    <w:rsid w:val="00BF1966"/>
  </w:style>
  <w:style w:type="paragraph" w:styleId="Paragraphedeliste">
    <w:name w:val="List Paragraph"/>
    <w:basedOn w:val="Normal"/>
    <w:uiPriority w:val="34"/>
    <w:qFormat/>
    <w:rsid w:val="00E47025"/>
    <w:pPr>
      <w:ind w:left="720"/>
      <w:contextualSpacing/>
    </w:pPr>
  </w:style>
  <w:style w:type="paragraph" w:styleId="NormalWeb">
    <w:name w:val="Normal (Web)"/>
    <w:basedOn w:val="Normal"/>
    <w:uiPriority w:val="99"/>
    <w:unhideWhenUsed/>
    <w:rsid w:val="000F3D3A"/>
    <w:pPr>
      <w:spacing w:before="100" w:beforeAutospacing="1" w:after="100" w:afterAutospacing="1"/>
    </w:pPr>
    <w:rPr>
      <w:rFonts w:ascii="Times New Roman" w:eastAsia="Times New Roman" w:hAnsi="Times New Roman" w:cs="Times New Roman"/>
      <w:lang w:eastAsia="fr-FR"/>
    </w:rPr>
  </w:style>
  <w:style w:type="paragraph" w:customStyle="1" w:styleId="assnattitrepg">
    <w:name w:val="assnattitrepg"/>
    <w:basedOn w:val="Normal"/>
    <w:rsid w:val="000F3D3A"/>
    <w:pPr>
      <w:spacing w:before="100" w:beforeAutospacing="1" w:after="100" w:afterAutospacing="1"/>
    </w:pPr>
    <w:rPr>
      <w:rFonts w:ascii="Times New Roman" w:eastAsia="Times New Roman" w:hAnsi="Times New Roman" w:cs="Times New Roman"/>
      <w:lang w:eastAsia="fr-FR"/>
    </w:rPr>
  </w:style>
  <w:style w:type="character" w:customStyle="1" w:styleId="assnatlnom">
    <w:name w:val="assnatlnom"/>
    <w:basedOn w:val="Policepardfaut"/>
    <w:rsid w:val="000F3D3A"/>
  </w:style>
  <w:style w:type="paragraph" w:customStyle="1" w:styleId="assnat4titreintit1">
    <w:name w:val="assnat4titreintit1"/>
    <w:basedOn w:val="Normal"/>
    <w:rsid w:val="000F3D3A"/>
    <w:pPr>
      <w:spacing w:before="100" w:beforeAutospacing="1" w:after="100" w:afterAutospacing="1"/>
    </w:pPr>
    <w:rPr>
      <w:rFonts w:ascii="Times New Roman" w:eastAsia="Times New Roman" w:hAnsi="Times New Roman" w:cs="Times New Roman"/>
      <w:lang w:eastAsia="fr-FR"/>
    </w:rPr>
  </w:style>
  <w:style w:type="paragraph" w:customStyle="1" w:styleId="assnatloitexte">
    <w:name w:val="assnatloitexte"/>
    <w:basedOn w:val="Normal"/>
    <w:rsid w:val="000F3D3A"/>
    <w:pPr>
      <w:spacing w:before="100" w:beforeAutospacing="1" w:after="100" w:afterAutospacing="1"/>
    </w:pPr>
    <w:rPr>
      <w:rFonts w:ascii="Times New Roman" w:eastAsia="Times New Roman" w:hAnsi="Times New Roman" w:cs="Times New Roman"/>
      <w:lang w:eastAsia="fr-FR"/>
    </w:rPr>
  </w:style>
  <w:style w:type="paragraph" w:customStyle="1" w:styleId="assnat9articlenum">
    <w:name w:val="assnat9articlenum"/>
    <w:basedOn w:val="Normal"/>
    <w:rsid w:val="000F3D3A"/>
    <w:pPr>
      <w:spacing w:before="100" w:beforeAutospacing="1" w:after="100" w:afterAutospacing="1"/>
    </w:pPr>
    <w:rPr>
      <w:rFonts w:ascii="Times New Roman" w:eastAsia="Times New Roman" w:hAnsi="Times New Roman" w:cs="Times New Roman"/>
      <w:lang w:eastAsia="fr-FR"/>
    </w:rPr>
  </w:style>
  <w:style w:type="character" w:customStyle="1" w:styleId="markedcontent">
    <w:name w:val="markedcontent"/>
    <w:basedOn w:val="Policepardfaut"/>
    <w:rsid w:val="00FC1C75"/>
  </w:style>
  <w:style w:type="character" w:styleId="Lienhypertexte">
    <w:name w:val="Hyperlink"/>
    <w:basedOn w:val="Policepardfaut"/>
    <w:uiPriority w:val="99"/>
    <w:unhideWhenUsed/>
    <w:rsid w:val="000D603B"/>
    <w:rPr>
      <w:color w:val="0563C1" w:themeColor="hyperlink"/>
      <w:u w:val="single"/>
    </w:rPr>
  </w:style>
  <w:style w:type="character" w:styleId="Mentionnonrsolue">
    <w:name w:val="Unresolved Mention"/>
    <w:basedOn w:val="Policepardfaut"/>
    <w:uiPriority w:val="99"/>
    <w:rsid w:val="000D603B"/>
    <w:rPr>
      <w:color w:val="605E5C"/>
      <w:shd w:val="clear" w:color="auto" w:fill="E1DFDD"/>
    </w:rPr>
  </w:style>
  <w:style w:type="paragraph" w:customStyle="1" w:styleId="type-texte">
    <w:name w:val="type-texte"/>
    <w:basedOn w:val="Normal"/>
    <w:rsid w:val="000D603B"/>
    <w:pPr>
      <w:spacing w:before="100" w:beforeAutospacing="1" w:after="100" w:afterAutospacing="1"/>
    </w:pPr>
    <w:rPr>
      <w:rFonts w:ascii="Times New Roman" w:eastAsia="Times New Roman" w:hAnsi="Times New Roman" w:cs="Times New Roman"/>
      <w:lang w:eastAsia="fr-FR"/>
    </w:rPr>
  </w:style>
  <w:style w:type="paragraph" w:customStyle="1" w:styleId="intitule">
    <w:name w:val="intitule"/>
    <w:basedOn w:val="Normal"/>
    <w:rsid w:val="000D603B"/>
    <w:pPr>
      <w:spacing w:before="100" w:beforeAutospacing="1" w:after="100" w:afterAutospacing="1"/>
    </w:pPr>
    <w:rPr>
      <w:rFonts w:ascii="Times New Roman" w:eastAsia="Times New Roman" w:hAnsi="Times New Roman" w:cs="Times New Roman"/>
      <w:lang w:eastAsia="fr-FR"/>
    </w:rPr>
  </w:style>
  <w:style w:type="paragraph" w:customStyle="1" w:styleId="presentateur">
    <w:name w:val="presentateur"/>
    <w:basedOn w:val="Normal"/>
    <w:rsid w:val="000D603B"/>
    <w:pPr>
      <w:spacing w:before="100" w:beforeAutospacing="1" w:after="100" w:afterAutospacing="1"/>
    </w:pPr>
    <w:rPr>
      <w:rFonts w:ascii="Times New Roman" w:eastAsia="Times New Roman" w:hAnsi="Times New Roman" w:cs="Times New Roman"/>
      <w:lang w:eastAsia="fr-FR"/>
    </w:rPr>
  </w:style>
  <w:style w:type="paragraph" w:customStyle="1" w:styleId="envoye-a">
    <w:name w:val="envoye-a"/>
    <w:basedOn w:val="Normal"/>
    <w:rsid w:val="000D603B"/>
    <w:pPr>
      <w:spacing w:before="100" w:beforeAutospacing="1" w:after="100" w:afterAutospacing="1"/>
    </w:pPr>
    <w:rPr>
      <w:rFonts w:ascii="Times New Roman" w:eastAsia="Times New Roman" w:hAnsi="Times New Roman" w:cs="Times New Roman"/>
      <w:lang w:eastAsia="fr-FR"/>
    </w:rPr>
  </w:style>
  <w:style w:type="paragraph" w:customStyle="1" w:styleId="tcprloi">
    <w:name w:val="tcprloi"/>
    <w:basedOn w:val="Normal"/>
    <w:rsid w:val="000D603B"/>
    <w:pPr>
      <w:spacing w:before="100" w:beforeAutospacing="1" w:after="100" w:afterAutospacing="1"/>
    </w:pPr>
    <w:rPr>
      <w:rFonts w:ascii="Times New Roman" w:eastAsia="Times New Roman" w:hAnsi="Times New Roman" w:cs="Times New Roman"/>
      <w:lang w:eastAsia="fr-FR"/>
    </w:rPr>
  </w:style>
  <w:style w:type="paragraph" w:customStyle="1" w:styleId="tcnumarticle">
    <w:name w:val="tcnumarticle"/>
    <w:basedOn w:val="Normal"/>
    <w:rsid w:val="000D603B"/>
    <w:pPr>
      <w:spacing w:before="100" w:beforeAutospacing="1" w:after="100" w:afterAutospacing="1"/>
    </w:pPr>
    <w:rPr>
      <w:rFonts w:ascii="Times New Roman" w:eastAsia="Times New Roman" w:hAnsi="Times New Roman" w:cs="Times New Roman"/>
      <w:lang w:eastAsia="fr-FR"/>
    </w:rPr>
  </w:style>
  <w:style w:type="paragraph" w:customStyle="1" w:styleId="tctexte">
    <w:name w:val="tctexte"/>
    <w:basedOn w:val="Normal"/>
    <w:rsid w:val="000D603B"/>
    <w:pPr>
      <w:spacing w:before="100" w:beforeAutospacing="1" w:after="100" w:afterAutospacing="1"/>
    </w:pPr>
    <w:rPr>
      <w:rFonts w:ascii="Times New Roman" w:eastAsia="Times New Roman" w:hAnsi="Times New Roman" w:cs="Times New Roman"/>
      <w:lang w:eastAsia="fr-FR"/>
    </w:rPr>
  </w:style>
  <w:style w:type="character" w:customStyle="1" w:styleId="Titre4Car">
    <w:name w:val="Titre 4 Car"/>
    <w:basedOn w:val="Policepardfaut"/>
    <w:link w:val="Titre4"/>
    <w:uiPriority w:val="9"/>
    <w:semiHidden/>
    <w:rsid w:val="002F3581"/>
    <w:rPr>
      <w:rFonts w:asciiTheme="majorHAnsi" w:eastAsiaTheme="majorEastAsia" w:hAnsiTheme="majorHAnsi" w:cstheme="majorBidi"/>
      <w:i/>
      <w:iCs/>
      <w:color w:val="2F5496" w:themeColor="accent1" w:themeShade="BF"/>
    </w:rPr>
  </w:style>
  <w:style w:type="character" w:customStyle="1" w:styleId="Titre6Car">
    <w:name w:val="Titre 6 Car"/>
    <w:basedOn w:val="Policepardfaut"/>
    <w:link w:val="Titre6"/>
    <w:uiPriority w:val="9"/>
    <w:semiHidden/>
    <w:rsid w:val="002F3581"/>
    <w:rPr>
      <w:rFonts w:asciiTheme="majorHAnsi" w:eastAsiaTheme="majorEastAsia" w:hAnsiTheme="majorHAnsi" w:cstheme="majorBidi"/>
      <w:color w:val="1F3763" w:themeColor="accent1" w:themeShade="7F"/>
    </w:rPr>
  </w:style>
  <w:style w:type="paragraph" w:customStyle="1" w:styleId="Date1">
    <w:name w:val="Date1"/>
    <w:basedOn w:val="Normal"/>
    <w:rsid w:val="002F3581"/>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2F3581"/>
  </w:style>
  <w:style w:type="character" w:customStyle="1" w:styleId="exposant">
    <w:name w:val="exposant"/>
    <w:basedOn w:val="Policepardfaut"/>
    <w:rsid w:val="00465E1B"/>
  </w:style>
  <w:style w:type="character" w:styleId="Lienhypertextesuivivisit">
    <w:name w:val="FollowedHyperlink"/>
    <w:basedOn w:val="Policepardfaut"/>
    <w:uiPriority w:val="99"/>
    <w:semiHidden/>
    <w:unhideWhenUsed/>
    <w:rsid w:val="00465E1B"/>
    <w:rPr>
      <w:color w:val="954F72" w:themeColor="followedHyperlink"/>
      <w:u w:val="single"/>
    </w:rPr>
  </w:style>
  <w:style w:type="character" w:customStyle="1" w:styleId="text">
    <w:name w:val="text"/>
    <w:basedOn w:val="Policepardfaut"/>
    <w:rsid w:val="00F97F60"/>
  </w:style>
  <w:style w:type="character" w:styleId="lev">
    <w:name w:val="Strong"/>
    <w:basedOn w:val="Policepardfaut"/>
    <w:uiPriority w:val="22"/>
    <w:qFormat/>
    <w:rsid w:val="00F97F60"/>
    <w:rPr>
      <w:b/>
      <w:bCs/>
    </w:rPr>
  </w:style>
  <w:style w:type="character" w:customStyle="1" w:styleId="familyname">
    <w:name w:val="familyname"/>
    <w:basedOn w:val="Policepardfaut"/>
    <w:rsid w:val="00F97F60"/>
  </w:style>
  <w:style w:type="paragraph" w:customStyle="1" w:styleId="texte">
    <w:name w:val="texte"/>
    <w:basedOn w:val="Normal"/>
    <w:rsid w:val="00F97F60"/>
    <w:pPr>
      <w:spacing w:before="100" w:beforeAutospacing="1" w:after="100" w:afterAutospacing="1"/>
    </w:pPr>
    <w:rPr>
      <w:rFonts w:ascii="Times New Roman" w:eastAsia="Times New Roman" w:hAnsi="Times New Roman" w:cs="Times New Roman"/>
      <w:lang w:eastAsia="fr-FR"/>
    </w:rPr>
  </w:style>
  <w:style w:type="character" w:customStyle="1" w:styleId="paranumber">
    <w:name w:val="paranumber"/>
    <w:basedOn w:val="Policepardfaut"/>
    <w:rsid w:val="00F97F60"/>
  </w:style>
  <w:style w:type="character" w:styleId="Accentuation">
    <w:name w:val="Emphasis"/>
    <w:basedOn w:val="Policepardfaut"/>
    <w:uiPriority w:val="20"/>
    <w:qFormat/>
    <w:rsid w:val="00F97F60"/>
    <w:rPr>
      <w:i/>
      <w:iCs/>
    </w:rPr>
  </w:style>
  <w:style w:type="character" w:customStyle="1" w:styleId="num">
    <w:name w:val="num"/>
    <w:basedOn w:val="Policepardfaut"/>
    <w:rsid w:val="006824E4"/>
  </w:style>
  <w:style w:type="paragraph" w:customStyle="1" w:styleId="cchapeaualinea">
    <w:name w:val="cchapeaualinea"/>
    <w:basedOn w:val="Normal"/>
    <w:rsid w:val="004D5DA1"/>
    <w:pPr>
      <w:spacing w:before="100" w:beforeAutospacing="1" w:after="100" w:afterAutospacing="1"/>
    </w:pPr>
    <w:rPr>
      <w:rFonts w:ascii="Times New Roman" w:eastAsia="Times New Roman" w:hAnsi="Times New Roman" w:cs="Times New Roman"/>
      <w:lang w:eastAsia="fr-FR"/>
    </w:rPr>
  </w:style>
  <w:style w:type="paragraph" w:customStyle="1" w:styleId="ccommunalinea">
    <w:name w:val="ccommunalinea"/>
    <w:basedOn w:val="Normal"/>
    <w:rsid w:val="004D5DA1"/>
    <w:pPr>
      <w:spacing w:before="100" w:beforeAutospacing="1" w:after="100" w:afterAutospacing="1"/>
    </w:pPr>
    <w:rPr>
      <w:rFonts w:ascii="Times New Roman" w:eastAsia="Times New Roman" w:hAnsi="Times New Roman" w:cs="Times New Roman"/>
      <w:lang w:eastAsia="fr-FR"/>
    </w:rPr>
  </w:style>
  <w:style w:type="character" w:customStyle="1" w:styleId="note">
    <w:name w:val="note"/>
    <w:basedOn w:val="Policepardfaut"/>
    <w:rsid w:val="004D5DA1"/>
  </w:style>
  <w:style w:type="character" w:customStyle="1" w:styleId="cexposant">
    <w:name w:val="cexposant"/>
    <w:basedOn w:val="Policepardfaut"/>
    <w:rsid w:val="004D5DA1"/>
  </w:style>
  <w:style w:type="paragraph" w:styleId="Pieddepage">
    <w:name w:val="footer"/>
    <w:basedOn w:val="Normal"/>
    <w:link w:val="PieddepageCar"/>
    <w:uiPriority w:val="99"/>
    <w:unhideWhenUsed/>
    <w:rsid w:val="00983CEE"/>
    <w:pPr>
      <w:tabs>
        <w:tab w:val="center" w:pos="4536"/>
        <w:tab w:val="right" w:pos="9072"/>
      </w:tabs>
    </w:pPr>
  </w:style>
  <w:style w:type="character" w:customStyle="1" w:styleId="PieddepageCar">
    <w:name w:val="Pied de page Car"/>
    <w:basedOn w:val="Policepardfaut"/>
    <w:link w:val="Pieddepage"/>
    <w:uiPriority w:val="99"/>
    <w:rsid w:val="00983CEE"/>
  </w:style>
  <w:style w:type="character" w:styleId="Numrodepage">
    <w:name w:val="page number"/>
    <w:basedOn w:val="Policepardfaut"/>
    <w:uiPriority w:val="99"/>
    <w:semiHidden/>
    <w:unhideWhenUsed/>
    <w:rsid w:val="00983CEE"/>
  </w:style>
  <w:style w:type="character" w:customStyle="1" w:styleId="Titre2Car">
    <w:name w:val="Titre 2 Car"/>
    <w:basedOn w:val="Policepardfaut"/>
    <w:link w:val="Titre2"/>
    <w:uiPriority w:val="9"/>
    <w:rsid w:val="00C14B1F"/>
    <w:rPr>
      <w:rFonts w:asciiTheme="majorHAnsi" w:eastAsiaTheme="majorEastAsia" w:hAnsiTheme="majorHAnsi" w:cstheme="majorBidi"/>
      <w:color w:val="2F5496" w:themeColor="accent1" w:themeShade="BF"/>
      <w:sz w:val="26"/>
      <w:szCs w:val="26"/>
    </w:rPr>
  </w:style>
  <w:style w:type="paragraph" w:styleId="En-ttedetabledesmatires">
    <w:name w:val="TOC Heading"/>
    <w:basedOn w:val="Titre1"/>
    <w:next w:val="Normal"/>
    <w:uiPriority w:val="39"/>
    <w:unhideWhenUsed/>
    <w:qFormat/>
    <w:rsid w:val="00AA1178"/>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M1">
    <w:name w:val="toc 1"/>
    <w:basedOn w:val="Normal"/>
    <w:next w:val="Normal"/>
    <w:autoRedefine/>
    <w:uiPriority w:val="39"/>
    <w:unhideWhenUsed/>
    <w:rsid w:val="00AA1178"/>
    <w:pPr>
      <w:spacing w:before="120"/>
    </w:pPr>
    <w:rPr>
      <w:rFonts w:cstheme="minorHAnsi"/>
      <w:b/>
      <w:bCs/>
      <w:i/>
      <w:iCs/>
    </w:rPr>
  </w:style>
  <w:style w:type="paragraph" w:styleId="TM2">
    <w:name w:val="toc 2"/>
    <w:basedOn w:val="Normal"/>
    <w:next w:val="Normal"/>
    <w:autoRedefine/>
    <w:uiPriority w:val="39"/>
    <w:unhideWhenUsed/>
    <w:rsid w:val="00AA1178"/>
    <w:pPr>
      <w:spacing w:before="120"/>
      <w:ind w:left="240"/>
    </w:pPr>
    <w:rPr>
      <w:rFonts w:cstheme="minorHAnsi"/>
      <w:b/>
      <w:bCs/>
      <w:sz w:val="22"/>
      <w:szCs w:val="22"/>
    </w:rPr>
  </w:style>
  <w:style w:type="paragraph" w:styleId="TM3">
    <w:name w:val="toc 3"/>
    <w:basedOn w:val="Normal"/>
    <w:next w:val="Normal"/>
    <w:autoRedefine/>
    <w:uiPriority w:val="39"/>
    <w:semiHidden/>
    <w:unhideWhenUsed/>
    <w:rsid w:val="00AA1178"/>
    <w:pPr>
      <w:ind w:left="480"/>
    </w:pPr>
    <w:rPr>
      <w:rFonts w:cstheme="minorHAnsi"/>
      <w:sz w:val="20"/>
      <w:szCs w:val="20"/>
    </w:rPr>
  </w:style>
  <w:style w:type="paragraph" w:styleId="TM4">
    <w:name w:val="toc 4"/>
    <w:basedOn w:val="Normal"/>
    <w:next w:val="Normal"/>
    <w:autoRedefine/>
    <w:uiPriority w:val="39"/>
    <w:semiHidden/>
    <w:unhideWhenUsed/>
    <w:rsid w:val="00AA1178"/>
    <w:pPr>
      <w:ind w:left="720"/>
    </w:pPr>
    <w:rPr>
      <w:rFonts w:cstheme="minorHAnsi"/>
      <w:sz w:val="20"/>
      <w:szCs w:val="20"/>
    </w:rPr>
  </w:style>
  <w:style w:type="paragraph" w:styleId="TM5">
    <w:name w:val="toc 5"/>
    <w:basedOn w:val="Normal"/>
    <w:next w:val="Normal"/>
    <w:autoRedefine/>
    <w:uiPriority w:val="39"/>
    <w:semiHidden/>
    <w:unhideWhenUsed/>
    <w:rsid w:val="00AA1178"/>
    <w:pPr>
      <w:ind w:left="960"/>
    </w:pPr>
    <w:rPr>
      <w:rFonts w:cstheme="minorHAnsi"/>
      <w:sz w:val="20"/>
      <w:szCs w:val="20"/>
    </w:rPr>
  </w:style>
  <w:style w:type="paragraph" w:styleId="TM6">
    <w:name w:val="toc 6"/>
    <w:basedOn w:val="Normal"/>
    <w:next w:val="Normal"/>
    <w:autoRedefine/>
    <w:uiPriority w:val="39"/>
    <w:semiHidden/>
    <w:unhideWhenUsed/>
    <w:rsid w:val="00AA1178"/>
    <w:pPr>
      <w:ind w:left="1200"/>
    </w:pPr>
    <w:rPr>
      <w:rFonts w:cstheme="minorHAnsi"/>
      <w:sz w:val="20"/>
      <w:szCs w:val="20"/>
    </w:rPr>
  </w:style>
  <w:style w:type="paragraph" w:styleId="TM7">
    <w:name w:val="toc 7"/>
    <w:basedOn w:val="Normal"/>
    <w:next w:val="Normal"/>
    <w:autoRedefine/>
    <w:uiPriority w:val="39"/>
    <w:semiHidden/>
    <w:unhideWhenUsed/>
    <w:rsid w:val="00AA1178"/>
    <w:pPr>
      <w:ind w:left="1440"/>
    </w:pPr>
    <w:rPr>
      <w:rFonts w:cstheme="minorHAnsi"/>
      <w:sz w:val="20"/>
      <w:szCs w:val="20"/>
    </w:rPr>
  </w:style>
  <w:style w:type="paragraph" w:styleId="TM8">
    <w:name w:val="toc 8"/>
    <w:basedOn w:val="Normal"/>
    <w:next w:val="Normal"/>
    <w:autoRedefine/>
    <w:uiPriority w:val="39"/>
    <w:semiHidden/>
    <w:unhideWhenUsed/>
    <w:rsid w:val="00AA1178"/>
    <w:pPr>
      <w:ind w:left="1680"/>
    </w:pPr>
    <w:rPr>
      <w:rFonts w:cstheme="minorHAnsi"/>
      <w:sz w:val="20"/>
      <w:szCs w:val="20"/>
    </w:rPr>
  </w:style>
  <w:style w:type="paragraph" w:styleId="TM9">
    <w:name w:val="toc 9"/>
    <w:basedOn w:val="Normal"/>
    <w:next w:val="Normal"/>
    <w:autoRedefine/>
    <w:uiPriority w:val="39"/>
    <w:semiHidden/>
    <w:unhideWhenUsed/>
    <w:rsid w:val="00AA1178"/>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6264">
      <w:bodyDiv w:val="1"/>
      <w:marLeft w:val="0"/>
      <w:marRight w:val="0"/>
      <w:marTop w:val="0"/>
      <w:marBottom w:val="0"/>
      <w:divBdr>
        <w:top w:val="none" w:sz="0" w:space="0" w:color="auto"/>
        <w:left w:val="none" w:sz="0" w:space="0" w:color="auto"/>
        <w:bottom w:val="none" w:sz="0" w:space="0" w:color="auto"/>
        <w:right w:val="none" w:sz="0" w:space="0" w:color="auto"/>
      </w:divBdr>
    </w:div>
    <w:div w:id="476990362">
      <w:bodyDiv w:val="1"/>
      <w:marLeft w:val="0"/>
      <w:marRight w:val="0"/>
      <w:marTop w:val="0"/>
      <w:marBottom w:val="0"/>
      <w:divBdr>
        <w:top w:val="none" w:sz="0" w:space="0" w:color="auto"/>
        <w:left w:val="none" w:sz="0" w:space="0" w:color="auto"/>
        <w:bottom w:val="none" w:sz="0" w:space="0" w:color="auto"/>
        <w:right w:val="none" w:sz="0" w:space="0" w:color="auto"/>
      </w:divBdr>
      <w:divsChild>
        <w:div w:id="116223283">
          <w:marLeft w:val="0"/>
          <w:marRight w:val="0"/>
          <w:marTop w:val="0"/>
          <w:marBottom w:val="0"/>
          <w:divBdr>
            <w:top w:val="none" w:sz="0" w:space="0" w:color="auto"/>
            <w:left w:val="none" w:sz="0" w:space="0" w:color="auto"/>
            <w:bottom w:val="none" w:sz="0" w:space="0" w:color="auto"/>
            <w:right w:val="none" w:sz="0" w:space="0" w:color="auto"/>
          </w:divBdr>
        </w:div>
        <w:div w:id="380599950">
          <w:marLeft w:val="0"/>
          <w:marRight w:val="0"/>
          <w:marTop w:val="0"/>
          <w:marBottom w:val="0"/>
          <w:divBdr>
            <w:top w:val="none" w:sz="0" w:space="0" w:color="auto"/>
            <w:left w:val="none" w:sz="0" w:space="0" w:color="auto"/>
            <w:bottom w:val="none" w:sz="0" w:space="0" w:color="auto"/>
            <w:right w:val="none" w:sz="0" w:space="0" w:color="auto"/>
          </w:divBdr>
        </w:div>
        <w:div w:id="634870485">
          <w:marLeft w:val="0"/>
          <w:marRight w:val="0"/>
          <w:marTop w:val="0"/>
          <w:marBottom w:val="0"/>
          <w:divBdr>
            <w:top w:val="none" w:sz="0" w:space="0" w:color="auto"/>
            <w:left w:val="none" w:sz="0" w:space="0" w:color="auto"/>
            <w:bottom w:val="none" w:sz="0" w:space="0" w:color="auto"/>
            <w:right w:val="none" w:sz="0" w:space="0" w:color="auto"/>
          </w:divBdr>
        </w:div>
        <w:div w:id="2098819931">
          <w:marLeft w:val="0"/>
          <w:marRight w:val="0"/>
          <w:marTop w:val="0"/>
          <w:marBottom w:val="0"/>
          <w:divBdr>
            <w:top w:val="none" w:sz="0" w:space="0" w:color="auto"/>
            <w:left w:val="none" w:sz="0" w:space="0" w:color="auto"/>
            <w:bottom w:val="none" w:sz="0" w:space="0" w:color="auto"/>
            <w:right w:val="none" w:sz="0" w:space="0" w:color="auto"/>
          </w:divBdr>
        </w:div>
      </w:divsChild>
    </w:div>
    <w:div w:id="514223295">
      <w:bodyDiv w:val="1"/>
      <w:marLeft w:val="0"/>
      <w:marRight w:val="0"/>
      <w:marTop w:val="0"/>
      <w:marBottom w:val="0"/>
      <w:divBdr>
        <w:top w:val="none" w:sz="0" w:space="0" w:color="auto"/>
        <w:left w:val="none" w:sz="0" w:space="0" w:color="auto"/>
        <w:bottom w:val="none" w:sz="0" w:space="0" w:color="auto"/>
        <w:right w:val="none" w:sz="0" w:space="0" w:color="auto"/>
      </w:divBdr>
    </w:div>
    <w:div w:id="786580965">
      <w:bodyDiv w:val="1"/>
      <w:marLeft w:val="0"/>
      <w:marRight w:val="0"/>
      <w:marTop w:val="0"/>
      <w:marBottom w:val="0"/>
      <w:divBdr>
        <w:top w:val="none" w:sz="0" w:space="0" w:color="auto"/>
        <w:left w:val="none" w:sz="0" w:space="0" w:color="auto"/>
        <w:bottom w:val="none" w:sz="0" w:space="0" w:color="auto"/>
        <w:right w:val="none" w:sz="0" w:space="0" w:color="auto"/>
      </w:divBdr>
    </w:div>
    <w:div w:id="891119828">
      <w:bodyDiv w:val="1"/>
      <w:marLeft w:val="0"/>
      <w:marRight w:val="0"/>
      <w:marTop w:val="0"/>
      <w:marBottom w:val="0"/>
      <w:divBdr>
        <w:top w:val="none" w:sz="0" w:space="0" w:color="auto"/>
        <w:left w:val="none" w:sz="0" w:space="0" w:color="auto"/>
        <w:bottom w:val="none" w:sz="0" w:space="0" w:color="auto"/>
        <w:right w:val="none" w:sz="0" w:space="0" w:color="auto"/>
      </w:divBdr>
    </w:div>
    <w:div w:id="970742904">
      <w:bodyDiv w:val="1"/>
      <w:marLeft w:val="0"/>
      <w:marRight w:val="0"/>
      <w:marTop w:val="0"/>
      <w:marBottom w:val="0"/>
      <w:divBdr>
        <w:top w:val="none" w:sz="0" w:space="0" w:color="auto"/>
        <w:left w:val="none" w:sz="0" w:space="0" w:color="auto"/>
        <w:bottom w:val="none" w:sz="0" w:space="0" w:color="auto"/>
        <w:right w:val="none" w:sz="0" w:space="0" w:color="auto"/>
      </w:divBdr>
      <w:divsChild>
        <w:div w:id="1681272490">
          <w:marLeft w:val="0"/>
          <w:marRight w:val="0"/>
          <w:marTop w:val="0"/>
          <w:marBottom w:val="0"/>
          <w:divBdr>
            <w:top w:val="none" w:sz="0" w:space="0" w:color="auto"/>
            <w:left w:val="none" w:sz="0" w:space="0" w:color="auto"/>
            <w:bottom w:val="none" w:sz="0" w:space="0" w:color="auto"/>
            <w:right w:val="none" w:sz="0" w:space="0" w:color="auto"/>
          </w:divBdr>
        </w:div>
      </w:divsChild>
    </w:div>
    <w:div w:id="1172182259">
      <w:bodyDiv w:val="1"/>
      <w:marLeft w:val="0"/>
      <w:marRight w:val="0"/>
      <w:marTop w:val="0"/>
      <w:marBottom w:val="0"/>
      <w:divBdr>
        <w:top w:val="none" w:sz="0" w:space="0" w:color="auto"/>
        <w:left w:val="none" w:sz="0" w:space="0" w:color="auto"/>
        <w:bottom w:val="none" w:sz="0" w:space="0" w:color="auto"/>
        <w:right w:val="none" w:sz="0" w:space="0" w:color="auto"/>
      </w:divBdr>
    </w:div>
    <w:div w:id="1296913510">
      <w:bodyDiv w:val="1"/>
      <w:marLeft w:val="0"/>
      <w:marRight w:val="0"/>
      <w:marTop w:val="0"/>
      <w:marBottom w:val="0"/>
      <w:divBdr>
        <w:top w:val="none" w:sz="0" w:space="0" w:color="auto"/>
        <w:left w:val="none" w:sz="0" w:space="0" w:color="auto"/>
        <w:bottom w:val="none" w:sz="0" w:space="0" w:color="auto"/>
        <w:right w:val="none" w:sz="0" w:space="0" w:color="auto"/>
      </w:divBdr>
      <w:divsChild>
        <w:div w:id="1019626216">
          <w:marLeft w:val="0"/>
          <w:marRight w:val="0"/>
          <w:marTop w:val="0"/>
          <w:marBottom w:val="0"/>
          <w:divBdr>
            <w:top w:val="none" w:sz="0" w:space="0" w:color="auto"/>
            <w:left w:val="none" w:sz="0" w:space="0" w:color="auto"/>
            <w:bottom w:val="none" w:sz="0" w:space="0" w:color="auto"/>
            <w:right w:val="none" w:sz="0" w:space="0" w:color="auto"/>
          </w:divBdr>
        </w:div>
        <w:div w:id="1616063813">
          <w:marLeft w:val="0"/>
          <w:marRight w:val="0"/>
          <w:marTop w:val="0"/>
          <w:marBottom w:val="0"/>
          <w:divBdr>
            <w:top w:val="none" w:sz="0" w:space="0" w:color="auto"/>
            <w:left w:val="none" w:sz="0" w:space="0" w:color="auto"/>
            <w:bottom w:val="none" w:sz="0" w:space="0" w:color="auto"/>
            <w:right w:val="none" w:sz="0" w:space="0" w:color="auto"/>
          </w:divBdr>
        </w:div>
      </w:divsChild>
    </w:div>
    <w:div w:id="1346438782">
      <w:bodyDiv w:val="1"/>
      <w:marLeft w:val="0"/>
      <w:marRight w:val="0"/>
      <w:marTop w:val="0"/>
      <w:marBottom w:val="0"/>
      <w:divBdr>
        <w:top w:val="none" w:sz="0" w:space="0" w:color="auto"/>
        <w:left w:val="none" w:sz="0" w:space="0" w:color="auto"/>
        <w:bottom w:val="none" w:sz="0" w:space="0" w:color="auto"/>
        <w:right w:val="none" w:sz="0" w:space="0" w:color="auto"/>
      </w:divBdr>
      <w:divsChild>
        <w:div w:id="1797412685">
          <w:marLeft w:val="0"/>
          <w:marRight w:val="0"/>
          <w:marTop w:val="0"/>
          <w:marBottom w:val="0"/>
          <w:divBdr>
            <w:top w:val="none" w:sz="0" w:space="0" w:color="auto"/>
            <w:left w:val="none" w:sz="0" w:space="0" w:color="auto"/>
            <w:bottom w:val="none" w:sz="0" w:space="0" w:color="auto"/>
            <w:right w:val="none" w:sz="0" w:space="0" w:color="auto"/>
          </w:divBdr>
        </w:div>
      </w:divsChild>
    </w:div>
    <w:div w:id="1395085955">
      <w:bodyDiv w:val="1"/>
      <w:marLeft w:val="0"/>
      <w:marRight w:val="0"/>
      <w:marTop w:val="0"/>
      <w:marBottom w:val="0"/>
      <w:divBdr>
        <w:top w:val="none" w:sz="0" w:space="0" w:color="auto"/>
        <w:left w:val="none" w:sz="0" w:space="0" w:color="auto"/>
        <w:bottom w:val="none" w:sz="0" w:space="0" w:color="auto"/>
        <w:right w:val="none" w:sz="0" w:space="0" w:color="auto"/>
      </w:divBdr>
      <w:divsChild>
        <w:div w:id="404494779">
          <w:marLeft w:val="0"/>
          <w:marRight w:val="0"/>
          <w:marTop w:val="0"/>
          <w:marBottom w:val="0"/>
          <w:divBdr>
            <w:top w:val="none" w:sz="0" w:space="0" w:color="auto"/>
            <w:left w:val="none" w:sz="0" w:space="0" w:color="auto"/>
            <w:bottom w:val="none" w:sz="0" w:space="0" w:color="auto"/>
            <w:right w:val="none" w:sz="0" w:space="0" w:color="auto"/>
          </w:divBdr>
        </w:div>
        <w:div w:id="617638487">
          <w:marLeft w:val="0"/>
          <w:marRight w:val="0"/>
          <w:marTop w:val="0"/>
          <w:marBottom w:val="0"/>
          <w:divBdr>
            <w:top w:val="none" w:sz="0" w:space="0" w:color="auto"/>
            <w:left w:val="none" w:sz="0" w:space="0" w:color="auto"/>
            <w:bottom w:val="none" w:sz="0" w:space="0" w:color="auto"/>
            <w:right w:val="none" w:sz="0" w:space="0" w:color="auto"/>
          </w:divBdr>
        </w:div>
        <w:div w:id="981734614">
          <w:marLeft w:val="0"/>
          <w:marRight w:val="0"/>
          <w:marTop w:val="0"/>
          <w:marBottom w:val="0"/>
          <w:divBdr>
            <w:top w:val="none" w:sz="0" w:space="0" w:color="auto"/>
            <w:left w:val="none" w:sz="0" w:space="0" w:color="auto"/>
            <w:bottom w:val="none" w:sz="0" w:space="0" w:color="auto"/>
            <w:right w:val="none" w:sz="0" w:space="0" w:color="auto"/>
          </w:divBdr>
        </w:div>
        <w:div w:id="1405762963">
          <w:marLeft w:val="0"/>
          <w:marRight w:val="0"/>
          <w:marTop w:val="0"/>
          <w:marBottom w:val="0"/>
          <w:divBdr>
            <w:top w:val="none" w:sz="0" w:space="0" w:color="auto"/>
            <w:left w:val="none" w:sz="0" w:space="0" w:color="auto"/>
            <w:bottom w:val="none" w:sz="0" w:space="0" w:color="auto"/>
            <w:right w:val="none" w:sz="0" w:space="0" w:color="auto"/>
          </w:divBdr>
        </w:div>
        <w:div w:id="1694115075">
          <w:marLeft w:val="0"/>
          <w:marRight w:val="0"/>
          <w:marTop w:val="0"/>
          <w:marBottom w:val="0"/>
          <w:divBdr>
            <w:top w:val="none" w:sz="0" w:space="0" w:color="auto"/>
            <w:left w:val="none" w:sz="0" w:space="0" w:color="auto"/>
            <w:bottom w:val="none" w:sz="0" w:space="0" w:color="auto"/>
            <w:right w:val="none" w:sz="0" w:space="0" w:color="auto"/>
          </w:divBdr>
        </w:div>
        <w:div w:id="2095277546">
          <w:marLeft w:val="0"/>
          <w:marRight w:val="0"/>
          <w:marTop w:val="0"/>
          <w:marBottom w:val="0"/>
          <w:divBdr>
            <w:top w:val="none" w:sz="0" w:space="0" w:color="auto"/>
            <w:left w:val="none" w:sz="0" w:space="0" w:color="auto"/>
            <w:bottom w:val="none" w:sz="0" w:space="0" w:color="auto"/>
            <w:right w:val="none" w:sz="0" w:space="0" w:color="auto"/>
          </w:divBdr>
        </w:div>
      </w:divsChild>
    </w:div>
    <w:div w:id="1429615141">
      <w:bodyDiv w:val="1"/>
      <w:marLeft w:val="0"/>
      <w:marRight w:val="0"/>
      <w:marTop w:val="0"/>
      <w:marBottom w:val="0"/>
      <w:divBdr>
        <w:top w:val="none" w:sz="0" w:space="0" w:color="auto"/>
        <w:left w:val="none" w:sz="0" w:space="0" w:color="auto"/>
        <w:bottom w:val="none" w:sz="0" w:space="0" w:color="auto"/>
        <w:right w:val="none" w:sz="0" w:space="0" w:color="auto"/>
      </w:divBdr>
    </w:div>
    <w:div w:id="1448424688">
      <w:bodyDiv w:val="1"/>
      <w:marLeft w:val="0"/>
      <w:marRight w:val="0"/>
      <w:marTop w:val="0"/>
      <w:marBottom w:val="0"/>
      <w:divBdr>
        <w:top w:val="none" w:sz="0" w:space="0" w:color="auto"/>
        <w:left w:val="none" w:sz="0" w:space="0" w:color="auto"/>
        <w:bottom w:val="none" w:sz="0" w:space="0" w:color="auto"/>
        <w:right w:val="none" w:sz="0" w:space="0" w:color="auto"/>
      </w:divBdr>
    </w:div>
    <w:div w:id="1549873543">
      <w:bodyDiv w:val="1"/>
      <w:marLeft w:val="0"/>
      <w:marRight w:val="0"/>
      <w:marTop w:val="0"/>
      <w:marBottom w:val="0"/>
      <w:divBdr>
        <w:top w:val="none" w:sz="0" w:space="0" w:color="auto"/>
        <w:left w:val="none" w:sz="0" w:space="0" w:color="auto"/>
        <w:bottom w:val="none" w:sz="0" w:space="0" w:color="auto"/>
        <w:right w:val="none" w:sz="0" w:space="0" w:color="auto"/>
      </w:divBdr>
    </w:div>
    <w:div w:id="1718696842">
      <w:bodyDiv w:val="1"/>
      <w:marLeft w:val="0"/>
      <w:marRight w:val="0"/>
      <w:marTop w:val="0"/>
      <w:marBottom w:val="0"/>
      <w:divBdr>
        <w:top w:val="none" w:sz="0" w:space="0" w:color="auto"/>
        <w:left w:val="none" w:sz="0" w:space="0" w:color="auto"/>
        <w:bottom w:val="none" w:sz="0" w:space="0" w:color="auto"/>
        <w:right w:val="none" w:sz="0" w:space="0" w:color="auto"/>
      </w:divBdr>
      <w:divsChild>
        <w:div w:id="1984193209">
          <w:marLeft w:val="0"/>
          <w:marRight w:val="0"/>
          <w:marTop w:val="0"/>
          <w:marBottom w:val="0"/>
          <w:divBdr>
            <w:top w:val="none" w:sz="0" w:space="0" w:color="auto"/>
            <w:left w:val="none" w:sz="0" w:space="0" w:color="auto"/>
            <w:bottom w:val="none" w:sz="0" w:space="0" w:color="auto"/>
            <w:right w:val="none" w:sz="0" w:space="0" w:color="auto"/>
          </w:divBdr>
        </w:div>
      </w:divsChild>
    </w:div>
    <w:div w:id="1724063335">
      <w:bodyDiv w:val="1"/>
      <w:marLeft w:val="0"/>
      <w:marRight w:val="0"/>
      <w:marTop w:val="0"/>
      <w:marBottom w:val="0"/>
      <w:divBdr>
        <w:top w:val="none" w:sz="0" w:space="0" w:color="auto"/>
        <w:left w:val="none" w:sz="0" w:space="0" w:color="auto"/>
        <w:bottom w:val="none" w:sz="0" w:space="0" w:color="auto"/>
        <w:right w:val="none" w:sz="0" w:space="0" w:color="auto"/>
      </w:divBdr>
      <w:divsChild>
        <w:div w:id="1794404133">
          <w:marLeft w:val="0"/>
          <w:marRight w:val="0"/>
          <w:marTop w:val="0"/>
          <w:marBottom w:val="0"/>
          <w:divBdr>
            <w:top w:val="none" w:sz="0" w:space="0" w:color="auto"/>
            <w:left w:val="none" w:sz="0" w:space="0" w:color="auto"/>
            <w:bottom w:val="none" w:sz="0" w:space="0" w:color="auto"/>
            <w:right w:val="none" w:sz="0" w:space="0" w:color="auto"/>
          </w:divBdr>
          <w:divsChild>
            <w:div w:id="293024124">
              <w:marLeft w:val="0"/>
              <w:marRight w:val="0"/>
              <w:marTop w:val="0"/>
              <w:marBottom w:val="0"/>
              <w:divBdr>
                <w:top w:val="none" w:sz="0" w:space="0" w:color="auto"/>
                <w:left w:val="none" w:sz="0" w:space="0" w:color="auto"/>
                <w:bottom w:val="none" w:sz="0" w:space="0" w:color="auto"/>
                <w:right w:val="none" w:sz="0" w:space="0" w:color="auto"/>
              </w:divBdr>
            </w:div>
          </w:divsChild>
        </w:div>
        <w:div w:id="2145270093">
          <w:marLeft w:val="0"/>
          <w:marRight w:val="0"/>
          <w:marTop w:val="0"/>
          <w:marBottom w:val="0"/>
          <w:divBdr>
            <w:top w:val="none" w:sz="0" w:space="0" w:color="auto"/>
            <w:left w:val="none" w:sz="0" w:space="0" w:color="auto"/>
            <w:bottom w:val="none" w:sz="0" w:space="0" w:color="auto"/>
            <w:right w:val="none" w:sz="0" w:space="0" w:color="auto"/>
          </w:divBdr>
        </w:div>
      </w:divsChild>
    </w:div>
    <w:div w:id="1823153647">
      <w:bodyDiv w:val="1"/>
      <w:marLeft w:val="0"/>
      <w:marRight w:val="0"/>
      <w:marTop w:val="0"/>
      <w:marBottom w:val="0"/>
      <w:divBdr>
        <w:top w:val="none" w:sz="0" w:space="0" w:color="auto"/>
        <w:left w:val="none" w:sz="0" w:space="0" w:color="auto"/>
        <w:bottom w:val="none" w:sz="0" w:space="0" w:color="auto"/>
        <w:right w:val="none" w:sz="0" w:space="0" w:color="auto"/>
      </w:divBdr>
    </w:div>
    <w:div w:id="1966427766">
      <w:bodyDiv w:val="1"/>
      <w:marLeft w:val="0"/>
      <w:marRight w:val="0"/>
      <w:marTop w:val="0"/>
      <w:marBottom w:val="0"/>
      <w:divBdr>
        <w:top w:val="none" w:sz="0" w:space="0" w:color="auto"/>
        <w:left w:val="none" w:sz="0" w:space="0" w:color="auto"/>
        <w:bottom w:val="none" w:sz="0" w:space="0" w:color="auto"/>
        <w:right w:val="none" w:sz="0" w:space="0" w:color="auto"/>
      </w:divBdr>
    </w:div>
    <w:div w:id="2123916146">
      <w:bodyDiv w:val="1"/>
      <w:marLeft w:val="0"/>
      <w:marRight w:val="0"/>
      <w:marTop w:val="0"/>
      <w:marBottom w:val="0"/>
      <w:divBdr>
        <w:top w:val="none" w:sz="0" w:space="0" w:color="auto"/>
        <w:left w:val="none" w:sz="0" w:space="0" w:color="auto"/>
        <w:bottom w:val="none" w:sz="0" w:space="0" w:color="auto"/>
        <w:right w:val="none" w:sz="0" w:space="0" w:color="auto"/>
      </w:divBdr>
    </w:div>
    <w:div w:id="2124835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senat.fr/leg/ppl21-853.html" TargetMode="External"/><Relationship Id="rId18" Type="http://schemas.openxmlformats.org/officeDocument/2006/relationships/hyperlink" Target="https://www.actu-juridique.fr/constitutionnel/linscription-du-droit-a-lavortement-dans-la-constitution-francaise/" TargetMode="External"/><Relationship Id="rId26" Type="http://schemas.openxmlformats.org/officeDocument/2006/relationships/hyperlink" Target="https://www.actu-juridique.fr/constitutionnel/linscription-du-droit-a-lavortement-dans-la-constitution-francaise/" TargetMode="External"/><Relationship Id="rId3" Type="http://schemas.openxmlformats.org/officeDocument/2006/relationships/styles" Target="styles.xml"/><Relationship Id="rId21" Type="http://schemas.openxmlformats.org/officeDocument/2006/relationships/hyperlink" Target="https://www.actu-juridique.fr/constitutionnel/linscription-du-droit-a-lavortement-dans-la-constitution-francais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enat.fr/leg/ppl21-736.pdf" TargetMode="External"/><Relationship Id="rId17" Type="http://schemas.openxmlformats.org/officeDocument/2006/relationships/hyperlink" Target="https://www.lefigaro.fr/actualite-france/inscription-du-droit-a-l-ivg-dans-la-constitution-le-recours-au-droit-comme-solution-a-tout-est-une-illusion-dangereuse-20220628" TargetMode="External"/><Relationship Id="rId25" Type="http://schemas.openxmlformats.org/officeDocument/2006/relationships/hyperlink" Target="https://www.actu-juridique.fr/constitutionnel/linscription-du-droit-a-lavortement-dans-la-constitution-francais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a-croix.com/Debats/IVG-Constitution-Il-faut-pas-ouvrir-boite-Pandore-2022-06-30-1201222785" TargetMode="External"/><Relationship Id="rId20" Type="http://schemas.openxmlformats.org/officeDocument/2006/relationships/hyperlink" Target="https://www.actu-juridique.fr/constitutionnel/linscription-du-droit-a-lavortement-dans-la-constitution-francaise/" TargetMode="External"/><Relationship Id="rId29" Type="http://schemas.openxmlformats.org/officeDocument/2006/relationships/hyperlink" Target="https://www.actu-juridique.fr/constitutionnel/linscription-du-droit-a-lavortement-dans-la-constitution-francai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at.fr/leg/ppl21-736.html" TargetMode="External"/><Relationship Id="rId24" Type="http://schemas.openxmlformats.org/officeDocument/2006/relationships/hyperlink" Target="https://www.actu-juridique.fr/constitutionnel/linscription-du-droit-a-lavortement-dans-la-constitution-francaise/"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libertescheries.blogspot.com/2022/06/ivg-pourquoi-importer-la-crise.html" TargetMode="External"/><Relationship Id="rId23" Type="http://schemas.openxmlformats.org/officeDocument/2006/relationships/hyperlink" Target="https://www.actu-juridique.fr/constitutionnel/linscription-du-droit-a-lavortement-dans-la-constitution-francaise/" TargetMode="External"/><Relationship Id="rId28" Type="http://schemas.openxmlformats.org/officeDocument/2006/relationships/hyperlink" Target="https://www.actu-juridique.fr/constitutionnel/linscription-du-droit-a-lavortement-dans-la-constitution-francaise/" TargetMode="External"/><Relationship Id="rId10" Type="http://schemas.openxmlformats.org/officeDocument/2006/relationships/image" Target="media/image2.png"/><Relationship Id="rId19" Type="http://schemas.openxmlformats.org/officeDocument/2006/relationships/hyperlink" Target="https://www.actu-juridique.fr/constitutionnel/linscription-du-droit-a-lavortement-dans-la-constitution-francais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blog.leclubdesjuristes.com/inscrire-le-droit-a-lavortement-dans-notre-constitution-une-proposition-ni-justifiee-ni-pertinente-par-anne-levade-professeur-de-droit-public-a-luniversite-paris-1-pantheon-sorbonne-membre-du/" TargetMode="External"/><Relationship Id="rId22" Type="http://schemas.openxmlformats.org/officeDocument/2006/relationships/hyperlink" Target="https://www.actu-juridique.fr/constitutionnel/linscription-du-droit-a-lavortement-dans-la-constitution-francaise/" TargetMode="External"/><Relationship Id="rId27" Type="http://schemas.openxmlformats.org/officeDocument/2006/relationships/hyperlink" Target="https://www.actu-juridique.fr/constitutionnel/linscription-du-droit-a-lavortement-dans-la-constitution-francaise/" TargetMode="External"/><Relationship Id="rId30" Type="http://schemas.openxmlformats.org/officeDocument/2006/relationships/hyperlink" Target="https://doi.org/10.4000/revdh.14979" TargetMode="External"/><Relationship Id="rId8" Type="http://schemas.openxmlformats.org/officeDocument/2006/relationships/hyperlink" Target="https://www.assemblee-nationale.fr/dyn/16/textes/l16b0008_proposition-loi"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29238-F563-144A-89FD-01C680F7C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3540</Words>
  <Characters>19473</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marchand</dc:creator>
  <cp:keywords/>
  <dc:description/>
  <cp:lastModifiedBy>Valérie marchand</cp:lastModifiedBy>
  <cp:revision>3</cp:revision>
  <dcterms:created xsi:type="dcterms:W3CDTF">2022-10-01T04:35:00Z</dcterms:created>
  <dcterms:modified xsi:type="dcterms:W3CDTF">2022-10-08T14:22:00Z</dcterms:modified>
</cp:coreProperties>
</file>