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C195" w14:textId="77777777" w:rsidR="00EB4C2C" w:rsidRPr="00530AAA" w:rsidRDefault="00EB4C2C" w:rsidP="00EB4C2C">
      <w:pPr>
        <w:pStyle w:val="Titre1"/>
        <w:shd w:val="clear" w:color="auto" w:fill="00B050"/>
        <w:jc w:val="center"/>
      </w:pPr>
      <w:bookmarkStart w:id="0" w:name="_Ref90621273"/>
      <w:r>
        <w:t xml:space="preserve">3. </w:t>
      </w:r>
      <w:r w:rsidRPr="00A51646">
        <w:t>Cour EDH et droit à l’avortement : Focus sur la Pologne</w:t>
      </w:r>
      <w:bookmarkEnd w:id="0"/>
    </w:p>
    <w:p w14:paraId="759C3DED" w14:textId="77777777" w:rsidR="00EB4C2C" w:rsidRDefault="00EB4C2C" w:rsidP="00EB4C2C">
      <w:pPr>
        <w:spacing w:line="276" w:lineRule="auto"/>
        <w:jc w:val="center"/>
        <w:rPr>
          <w:rFonts w:ascii="Arial" w:hAnsi="Arial" w:cs="Arial"/>
          <w:sz w:val="36"/>
          <w:szCs w:val="36"/>
        </w:rPr>
      </w:pPr>
    </w:p>
    <w:p w14:paraId="0600B446" w14:textId="77777777" w:rsidR="00EB4C2C" w:rsidRPr="00530AAA" w:rsidRDefault="00EB4C2C" w:rsidP="00EB4C2C">
      <w:pPr>
        <w:pStyle w:val="Titre1"/>
        <w:spacing w:line="276" w:lineRule="auto"/>
      </w:pPr>
      <w:r w:rsidRPr="00FA7267">
        <w:rPr>
          <w:highlight w:val="cyan"/>
        </w:rPr>
        <w:t>Prérequis et pistes pédagogiques</w:t>
      </w:r>
    </w:p>
    <w:p w14:paraId="6410889E" w14:textId="77777777" w:rsidR="00EB4C2C"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000000" w:themeColor="text1"/>
          <w:sz w:val="28"/>
          <w:szCs w:val="28"/>
        </w:rPr>
      </w:pPr>
      <w:r w:rsidRPr="00483D28">
        <w:rPr>
          <w:rFonts w:ascii="Arial" w:hAnsi="Arial" w:cs="Arial"/>
          <w:color w:val="000000" w:themeColor="text1"/>
          <w:sz w:val="28"/>
          <w:szCs w:val="28"/>
        </w:rPr>
        <w:t xml:space="preserve">1. Les premières sections du parcours Eléa sur la protection européenne des droits de l’homme doivent avoir été faites en autonomie par les élèves. Ils doivent avoir rédigé leur fiche de présentation de la cour EDH et peuvent à tout moment s’y référer. </w:t>
      </w:r>
    </w:p>
    <w:p w14:paraId="6955EF29" w14:textId="77777777" w:rsidR="00EB4C2C" w:rsidRPr="00483D28"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000000" w:themeColor="text1"/>
          <w:sz w:val="28"/>
          <w:szCs w:val="28"/>
        </w:rPr>
      </w:pPr>
      <w:hyperlink r:id="rId4" w:history="1">
        <w:r w:rsidRPr="00666D97">
          <w:rPr>
            <w:rStyle w:val="Lienhypertexte"/>
            <w:rFonts w:ascii="Arial" w:hAnsi="Arial" w:cs="Arial"/>
            <w:sz w:val="28"/>
            <w:szCs w:val="28"/>
          </w:rPr>
          <w:t>Pour télécharger le parcours Eléa</w:t>
        </w:r>
      </w:hyperlink>
    </w:p>
    <w:p w14:paraId="20C4E8F7" w14:textId="77777777" w:rsidR="00EB4C2C" w:rsidRPr="00483D28"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000000" w:themeColor="text1"/>
          <w:sz w:val="28"/>
          <w:szCs w:val="28"/>
        </w:rPr>
      </w:pPr>
      <w:r w:rsidRPr="00483D28">
        <w:rPr>
          <w:rFonts w:ascii="Arial" w:hAnsi="Arial" w:cs="Arial"/>
          <w:color w:val="000000" w:themeColor="text1"/>
          <w:sz w:val="28"/>
          <w:szCs w:val="28"/>
        </w:rPr>
        <w:t xml:space="preserve">2. </w:t>
      </w:r>
      <w:hyperlink r:id="rId5" w:history="1">
        <w:r w:rsidRPr="00A51646">
          <w:rPr>
            <w:rStyle w:val="Lienhypertexte"/>
            <w:rFonts w:ascii="Arial" w:hAnsi="Arial" w:cs="Arial"/>
            <w:sz w:val="28"/>
            <w:szCs w:val="28"/>
          </w:rPr>
          <w:t xml:space="preserve">La collection </w:t>
        </w:r>
        <w:proofErr w:type="spellStart"/>
        <w:r w:rsidRPr="00A51646">
          <w:rPr>
            <w:rStyle w:val="Lienhypertexte"/>
            <w:rFonts w:ascii="Arial" w:hAnsi="Arial" w:cs="Arial"/>
            <w:sz w:val="28"/>
            <w:szCs w:val="28"/>
          </w:rPr>
          <w:t>pearltrees</w:t>
        </w:r>
        <w:proofErr w:type="spellEnd"/>
        <w:r w:rsidRPr="00A51646">
          <w:rPr>
            <w:rStyle w:val="Lienhypertexte"/>
            <w:rFonts w:ascii="Arial" w:hAnsi="Arial" w:cs="Arial"/>
            <w:sz w:val="28"/>
            <w:szCs w:val="28"/>
          </w:rPr>
          <w:t xml:space="preserve"> dédiée</w:t>
        </w:r>
      </w:hyperlink>
      <w:r w:rsidRPr="00483D28">
        <w:rPr>
          <w:rFonts w:ascii="Arial" w:hAnsi="Arial" w:cs="Arial"/>
          <w:color w:val="000000" w:themeColor="text1"/>
          <w:sz w:val="28"/>
          <w:szCs w:val="28"/>
        </w:rPr>
        <w:t xml:space="preserve"> contient tous les documents nécessaires.</w:t>
      </w:r>
    </w:p>
    <w:p w14:paraId="3D2A02E1" w14:textId="77777777" w:rsidR="00EB4C2C" w:rsidRDefault="00EB4C2C" w:rsidP="00EB4C2C">
      <w:pPr>
        <w:spacing w:after="300" w:line="276" w:lineRule="auto"/>
        <w:jc w:val="both"/>
        <w:textAlignment w:val="baseline"/>
        <w:rPr>
          <w:rFonts w:ascii="Arial" w:hAnsi="Arial" w:cs="Arial"/>
          <w:b/>
          <w:bCs/>
          <w:color w:val="000000" w:themeColor="text1"/>
          <w:sz w:val="28"/>
          <w:szCs w:val="28"/>
        </w:rPr>
      </w:pPr>
    </w:p>
    <w:p w14:paraId="0FBD3F98" w14:textId="77777777" w:rsidR="00EB4C2C" w:rsidRPr="005053E6"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000000" w:themeColor="text1"/>
          <w:sz w:val="28"/>
          <w:szCs w:val="28"/>
        </w:rPr>
      </w:pPr>
      <w:r w:rsidRPr="005053E6">
        <w:rPr>
          <w:rFonts w:ascii="Arial" w:hAnsi="Arial" w:cs="Arial"/>
          <w:b/>
          <w:bCs/>
          <w:color w:val="000000" w:themeColor="text1"/>
          <w:sz w:val="28"/>
          <w:szCs w:val="28"/>
        </w:rPr>
        <w:t xml:space="preserve">Plusieurs pistes </w:t>
      </w:r>
      <w:r>
        <w:rPr>
          <w:rFonts w:ascii="Arial" w:hAnsi="Arial" w:cs="Arial"/>
          <w:b/>
          <w:bCs/>
          <w:color w:val="000000" w:themeColor="text1"/>
          <w:sz w:val="28"/>
          <w:szCs w:val="28"/>
        </w:rPr>
        <w:t xml:space="preserve">pédagogiques </w:t>
      </w:r>
    </w:p>
    <w:p w14:paraId="6A3D5321" w14:textId="77777777" w:rsidR="00EB4C2C" w:rsidRPr="005053E6"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000000" w:themeColor="text1"/>
          <w:sz w:val="28"/>
          <w:szCs w:val="28"/>
        </w:rPr>
      </w:pPr>
      <w:r w:rsidRPr="005053E6">
        <w:rPr>
          <w:rFonts w:ascii="Arial" w:hAnsi="Arial" w:cs="Arial"/>
          <w:b/>
          <w:bCs/>
          <w:color w:val="000000" w:themeColor="text1"/>
          <w:sz w:val="28"/>
          <w:szCs w:val="28"/>
        </w:rPr>
        <w:t>1. Le sujet peut faire l’objet d’un projet</w:t>
      </w:r>
      <w:r w:rsidRPr="00985638">
        <w:rPr>
          <w:rFonts w:ascii="Arial" w:hAnsi="Arial" w:cs="Arial"/>
          <w:b/>
          <w:bCs/>
          <w:color w:val="000000" w:themeColor="text1"/>
          <w:sz w:val="28"/>
          <w:szCs w:val="28"/>
        </w:rPr>
        <w:t xml:space="preserve"> </w:t>
      </w:r>
      <w:r w:rsidRPr="005053E6">
        <w:rPr>
          <w:rFonts w:ascii="Arial" w:hAnsi="Arial" w:cs="Arial"/>
          <w:b/>
          <w:bCs/>
          <w:color w:val="000000" w:themeColor="text1"/>
          <w:sz w:val="28"/>
          <w:szCs w:val="28"/>
        </w:rPr>
        <w:t>/</w:t>
      </w:r>
      <w:r w:rsidRPr="00985638">
        <w:rPr>
          <w:rFonts w:ascii="Arial" w:hAnsi="Arial" w:cs="Arial"/>
          <w:b/>
          <w:bCs/>
          <w:color w:val="000000" w:themeColor="text1"/>
          <w:sz w:val="28"/>
          <w:szCs w:val="28"/>
        </w:rPr>
        <w:t xml:space="preserve"> </w:t>
      </w:r>
      <w:r w:rsidRPr="005053E6">
        <w:rPr>
          <w:rFonts w:ascii="Arial" w:hAnsi="Arial" w:cs="Arial"/>
          <w:b/>
          <w:bCs/>
          <w:color w:val="000000" w:themeColor="text1"/>
          <w:sz w:val="28"/>
          <w:szCs w:val="28"/>
        </w:rPr>
        <w:t>dossier à réaliser par un groupe d’élèves et à soutenir ensuite</w:t>
      </w:r>
      <w:r>
        <w:rPr>
          <w:rFonts w:ascii="Arial" w:hAnsi="Arial" w:cs="Arial"/>
          <w:b/>
          <w:bCs/>
          <w:color w:val="000000" w:themeColor="text1"/>
          <w:sz w:val="28"/>
          <w:szCs w:val="28"/>
        </w:rPr>
        <w:t>.</w:t>
      </w:r>
    </w:p>
    <w:p w14:paraId="4DAAF992" w14:textId="77777777" w:rsidR="00EB4C2C"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000000" w:themeColor="text1"/>
          <w:sz w:val="28"/>
          <w:szCs w:val="28"/>
        </w:rPr>
      </w:pPr>
      <w:r w:rsidRPr="005053E6">
        <w:rPr>
          <w:rFonts w:ascii="Arial" w:hAnsi="Arial" w:cs="Arial"/>
          <w:b/>
          <w:bCs/>
          <w:color w:val="000000" w:themeColor="text1"/>
          <w:sz w:val="28"/>
          <w:szCs w:val="28"/>
        </w:rPr>
        <w:t>2. La séquence peut être traitée en classe avec mises en activité de élèves.</w:t>
      </w:r>
      <w:r>
        <w:rPr>
          <w:rFonts w:ascii="Arial" w:hAnsi="Arial" w:cs="Arial"/>
          <w:b/>
          <w:bCs/>
          <w:color w:val="000000" w:themeColor="text1"/>
          <w:sz w:val="28"/>
          <w:szCs w:val="28"/>
        </w:rPr>
        <w:t xml:space="preserve">  C‘est ce scénario qui est présenté ci-dessous.</w:t>
      </w:r>
    </w:p>
    <w:p w14:paraId="3335350D" w14:textId="77777777" w:rsidR="00EB4C2C"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000000" w:themeColor="text1"/>
          <w:sz w:val="28"/>
          <w:szCs w:val="28"/>
        </w:rPr>
      </w:pPr>
    </w:p>
    <w:p w14:paraId="1B40F37D" w14:textId="77777777" w:rsidR="00EB4C2C" w:rsidRDefault="00EB4C2C" w:rsidP="00EB4C2C">
      <w:pPr>
        <w:spacing w:after="300" w:line="276" w:lineRule="auto"/>
        <w:jc w:val="both"/>
        <w:textAlignment w:val="baseline"/>
        <w:rPr>
          <w:rFonts w:ascii="Arial" w:hAnsi="Arial" w:cs="Arial"/>
          <w:b/>
          <w:bCs/>
          <w:color w:val="000000" w:themeColor="text1"/>
          <w:sz w:val="28"/>
          <w:szCs w:val="28"/>
        </w:rPr>
      </w:pPr>
    </w:p>
    <w:p w14:paraId="25C9CBFE" w14:textId="77777777" w:rsidR="00EB4C2C" w:rsidRDefault="00EB4C2C" w:rsidP="00EB4C2C">
      <w:pPr>
        <w:spacing w:after="300" w:line="276" w:lineRule="auto"/>
        <w:jc w:val="both"/>
        <w:textAlignment w:val="baseline"/>
        <w:rPr>
          <w:rFonts w:ascii="Arial" w:hAnsi="Arial" w:cs="Arial"/>
          <w:b/>
          <w:bCs/>
          <w:color w:val="000000" w:themeColor="text1"/>
          <w:sz w:val="36"/>
          <w:szCs w:val="36"/>
        </w:rPr>
      </w:pPr>
      <w:r w:rsidRPr="006F2D37">
        <w:rPr>
          <w:rFonts w:ascii="Arial" w:hAnsi="Arial" w:cs="Arial"/>
          <w:b/>
          <w:bCs/>
          <w:color w:val="000000" w:themeColor="text1"/>
          <w:sz w:val="36"/>
          <w:szCs w:val="36"/>
          <w:highlight w:val="cyan"/>
        </w:rPr>
        <w:t>L’absence d’un droit conventionnel à l’avortement et la primauté donnée aux valeurs morales nationales</w:t>
      </w:r>
    </w:p>
    <w:p w14:paraId="49A390FC" w14:textId="77777777" w:rsidR="00EB4C2C" w:rsidRPr="006F2D37" w:rsidRDefault="00EB4C2C" w:rsidP="00EB4C2C">
      <w:pPr>
        <w:spacing w:after="300" w:line="276" w:lineRule="auto"/>
        <w:jc w:val="both"/>
        <w:textAlignment w:val="baseline"/>
        <w:rPr>
          <w:rFonts w:ascii="Arial" w:hAnsi="Arial" w:cs="Arial"/>
          <w:b/>
          <w:bCs/>
          <w:color w:val="000000" w:themeColor="text1"/>
          <w:sz w:val="36"/>
          <w:szCs w:val="36"/>
        </w:rPr>
      </w:pPr>
    </w:p>
    <w:p w14:paraId="22FDF8DA" w14:textId="77777777" w:rsidR="00EB4C2C"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000000" w:themeColor="text1"/>
          <w:sz w:val="28"/>
          <w:szCs w:val="28"/>
        </w:rPr>
      </w:pPr>
      <w:r>
        <w:rPr>
          <w:rFonts w:ascii="Arial" w:hAnsi="Arial" w:cs="Arial"/>
          <w:b/>
          <w:bCs/>
          <w:color w:val="000000" w:themeColor="text1"/>
          <w:sz w:val="28"/>
          <w:szCs w:val="28"/>
        </w:rPr>
        <w:t>Document 1</w:t>
      </w:r>
    </w:p>
    <w:p w14:paraId="04408CDB" w14:textId="77777777" w:rsidR="00EB4C2C" w:rsidRPr="00A51646"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lang w:eastAsia="fr-FR"/>
        </w:rPr>
      </w:pPr>
      <w:r w:rsidRPr="00A51646">
        <w:rPr>
          <w:rFonts w:ascii="Times New Roman" w:eastAsia="Times New Roman" w:hAnsi="Times New Roman" w:cs="Times New Roman"/>
          <w:b/>
          <w:bCs/>
          <w:lang w:eastAsia="fr-FR"/>
        </w:rPr>
        <w:lastRenderedPageBreak/>
        <w:t>Nicolas Hervieu</w:t>
      </w:r>
      <w:r w:rsidRPr="00A51646">
        <w:rPr>
          <w:rFonts w:ascii="Times New Roman" w:eastAsia="Times New Roman" w:hAnsi="Times New Roman" w:cs="Times New Roman"/>
          <w:lang w:eastAsia="fr-FR"/>
        </w:rPr>
        <w:t xml:space="preserve">, « Absence d’un droit conventionnel à l’avortement et primauté des valeurs morales </w:t>
      </w:r>
      <w:proofErr w:type="gramStart"/>
      <w:r w:rsidRPr="00A51646">
        <w:rPr>
          <w:rFonts w:ascii="Times New Roman" w:eastAsia="Times New Roman" w:hAnsi="Times New Roman" w:cs="Times New Roman"/>
          <w:lang w:eastAsia="fr-FR"/>
        </w:rPr>
        <w:t>nationales  »</w:t>
      </w:r>
      <w:proofErr w:type="gramEnd"/>
      <w:r w:rsidRPr="00A51646">
        <w:rPr>
          <w:rFonts w:ascii="Times New Roman" w:eastAsia="Times New Roman" w:hAnsi="Times New Roman" w:cs="Times New Roman"/>
          <w:lang w:eastAsia="fr-FR"/>
        </w:rPr>
        <w:t>, </w:t>
      </w:r>
      <w:r w:rsidRPr="00A51646">
        <w:rPr>
          <w:rFonts w:ascii="Times New Roman" w:eastAsia="Times New Roman" w:hAnsi="Times New Roman" w:cs="Times New Roman"/>
          <w:i/>
          <w:iCs/>
          <w:lang w:eastAsia="fr-FR"/>
        </w:rPr>
        <w:t>La Revue des droits de l’homme</w:t>
      </w:r>
      <w:r w:rsidRPr="00A51646">
        <w:rPr>
          <w:rFonts w:ascii="Times New Roman" w:eastAsia="Times New Roman" w:hAnsi="Times New Roman" w:cs="Times New Roman"/>
          <w:lang w:eastAsia="fr-FR"/>
        </w:rPr>
        <w:t xml:space="preserve"> [En ligne], Actualités Droits-Libertés, mis en ligne le 23 novembre 2017, consulté le 15 décembre 2021. URL : </w:t>
      </w:r>
      <w:hyperlink r:id="rId6" w:history="1">
        <w:r w:rsidRPr="00A51646">
          <w:rPr>
            <w:rStyle w:val="Lienhypertexte"/>
            <w:rFonts w:ascii="Times New Roman" w:eastAsia="Times New Roman" w:hAnsi="Times New Roman" w:cs="Times New Roman"/>
            <w:lang w:eastAsia="fr-FR"/>
          </w:rPr>
          <w:t>http://journals.openedition.org/revdh/3585 </w:t>
        </w:r>
      </w:hyperlink>
      <w:r w:rsidRPr="00A51646">
        <w:rPr>
          <w:rFonts w:ascii="Times New Roman" w:eastAsia="Times New Roman" w:hAnsi="Times New Roman" w:cs="Times New Roman"/>
          <w:lang w:eastAsia="fr-FR"/>
        </w:rPr>
        <w:t>; DOI : https://doi.org/10.4000/revdh.3585</w:t>
      </w:r>
    </w:p>
    <w:p w14:paraId="3B684FE0" w14:textId="77777777" w:rsidR="00EB4C2C" w:rsidRDefault="00EB4C2C" w:rsidP="00EB4C2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000000" w:themeColor="text1"/>
          <w:sz w:val="28"/>
          <w:szCs w:val="28"/>
        </w:rPr>
      </w:pPr>
    </w:p>
    <w:p w14:paraId="2BCD258F" w14:textId="77777777" w:rsidR="00EB4C2C" w:rsidRPr="00A51646"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sz w:val="28"/>
          <w:szCs w:val="28"/>
          <w:lang w:eastAsia="fr-FR"/>
        </w:rPr>
      </w:pPr>
      <w:r w:rsidRPr="00A51646">
        <w:rPr>
          <w:rFonts w:ascii="Arial" w:eastAsia="Times New Roman" w:hAnsi="Arial" w:cs="Arial"/>
          <w:sz w:val="28"/>
          <w:szCs w:val="28"/>
          <w:lang w:eastAsia="fr-FR"/>
        </w:rPr>
        <w:t xml:space="preserve">A l’occasion de requêtes dirigées contre l’Irlande, la Grande Chambre de la Cour européenne des droits de l’homme a rendu un long arrêt, particulièrement attendu car relatif à une question aussi sensible qu’importante. En effet, les circonstances de cette affaire étaient de nature à permettre à la Cour de – voire la contraindre à – se prononcer enfin clairement sur ce droit à l’avortement au sens de la Convention car sa jurisprudence passée était pour le moins ambiguë et nombreux furent les arrêts où elle avait réussi à esquiver cette question. Néanmoins, ici, les juges européens refusent de consacrer un tel droit et, dans un net mouvement d’autolimitation, accordent aux États une très large marge d’appréciation au sujet des restrictions à l’avortement. Par un raisonnement assez critiquable, la Cour fait primer les valeurs morales nationales aussi bien sur les droits individuels des femmes que sur le consensus européen soutenant ces droits. En conséquence, si la protection conventionnelle de la femme enceinte et de ses choix n’est pas nulle, force est de constater qu’elle se trouve, pour l’essentiel, à la merci des décisions quasi-souveraines de chaque </w:t>
      </w:r>
      <w:proofErr w:type="spellStart"/>
      <w:r w:rsidRPr="00A51646">
        <w:rPr>
          <w:rFonts w:ascii="Arial" w:eastAsia="Times New Roman" w:hAnsi="Arial" w:cs="Arial"/>
          <w:sz w:val="28"/>
          <w:szCs w:val="28"/>
          <w:lang w:eastAsia="fr-FR"/>
        </w:rPr>
        <w:t>Etat</w:t>
      </w:r>
      <w:proofErr w:type="spellEnd"/>
      <w:r w:rsidRPr="00A51646">
        <w:rPr>
          <w:rFonts w:ascii="Arial" w:eastAsia="Times New Roman" w:hAnsi="Arial" w:cs="Arial"/>
          <w:sz w:val="28"/>
          <w:szCs w:val="28"/>
          <w:lang w:eastAsia="fr-FR"/>
        </w:rPr>
        <w:t xml:space="preserve"> partie.</w:t>
      </w:r>
    </w:p>
    <w:p w14:paraId="7826A8FA" w14:textId="77777777" w:rsidR="00EB4C2C" w:rsidRDefault="00EB4C2C" w:rsidP="00EB4C2C">
      <w:pPr>
        <w:pStyle w:val="paragraphesansretrait"/>
        <w:pBdr>
          <w:top w:val="single" w:sz="4" w:space="1" w:color="auto"/>
          <w:left w:val="single" w:sz="4" w:space="4" w:color="auto"/>
          <w:bottom w:val="single" w:sz="4" w:space="1" w:color="auto"/>
          <w:right w:val="single" w:sz="4" w:space="4" w:color="auto"/>
        </w:pBdr>
        <w:spacing w:line="276" w:lineRule="auto"/>
        <w:rPr>
          <w:rStyle w:val="lev"/>
          <w:rFonts w:ascii="Arial" w:hAnsi="Arial" w:cs="Arial"/>
          <w:sz w:val="28"/>
          <w:szCs w:val="28"/>
        </w:rPr>
      </w:pPr>
      <w:r w:rsidRPr="00A51646">
        <w:rPr>
          <w:rStyle w:val="lev"/>
          <w:rFonts w:ascii="Arial" w:eastAsiaTheme="majorEastAsia" w:hAnsi="Arial" w:cs="Arial"/>
          <w:i/>
          <w:iCs/>
          <w:sz w:val="28"/>
          <w:szCs w:val="28"/>
        </w:rPr>
        <w:t>A. B. C. c. Irlande</w:t>
      </w:r>
      <w:r w:rsidRPr="00A51646">
        <w:rPr>
          <w:rStyle w:val="lev"/>
          <w:rFonts w:ascii="Arial" w:eastAsiaTheme="majorEastAsia" w:hAnsi="Arial" w:cs="Arial"/>
          <w:sz w:val="28"/>
          <w:szCs w:val="28"/>
        </w:rPr>
        <w:t xml:space="preserve"> (Cour EDH, G.C. 16 décembre 2010, </w:t>
      </w:r>
      <w:proofErr w:type="spellStart"/>
      <w:r w:rsidRPr="00A51646">
        <w:rPr>
          <w:rStyle w:val="lev"/>
          <w:rFonts w:ascii="Arial" w:eastAsiaTheme="majorEastAsia" w:hAnsi="Arial" w:cs="Arial"/>
          <w:sz w:val="28"/>
          <w:szCs w:val="28"/>
        </w:rPr>
        <w:t>Req</w:t>
      </w:r>
      <w:proofErr w:type="spellEnd"/>
      <w:r w:rsidRPr="00A51646">
        <w:rPr>
          <w:rStyle w:val="lev"/>
          <w:rFonts w:ascii="Arial" w:eastAsiaTheme="majorEastAsia" w:hAnsi="Arial" w:cs="Arial"/>
          <w:sz w:val="28"/>
          <w:szCs w:val="28"/>
        </w:rPr>
        <w:t xml:space="preserve">. </w:t>
      </w:r>
      <w:proofErr w:type="gramStart"/>
      <w:r w:rsidRPr="00A51646">
        <w:rPr>
          <w:rStyle w:val="lev"/>
          <w:rFonts w:ascii="Arial" w:eastAsiaTheme="majorEastAsia" w:hAnsi="Arial" w:cs="Arial"/>
          <w:sz w:val="28"/>
          <w:szCs w:val="28"/>
        </w:rPr>
        <w:t>n</w:t>
      </w:r>
      <w:proofErr w:type="gramEnd"/>
      <w:r w:rsidRPr="00A51646">
        <w:rPr>
          <w:rStyle w:val="lev"/>
          <w:rFonts w:ascii="Arial" w:eastAsiaTheme="majorEastAsia" w:hAnsi="Arial" w:cs="Arial"/>
          <w:sz w:val="28"/>
          <w:szCs w:val="28"/>
        </w:rPr>
        <w:t>° 25579/05)</w:t>
      </w:r>
    </w:p>
    <w:p w14:paraId="7E2D6A57" w14:textId="77777777" w:rsidR="00EB4C2C" w:rsidRDefault="00EB4C2C" w:rsidP="00EB4C2C">
      <w:pPr>
        <w:pStyle w:val="paragraphesansretrait"/>
        <w:pBdr>
          <w:top w:val="single" w:sz="4" w:space="1" w:color="auto"/>
          <w:left w:val="single" w:sz="4" w:space="4" w:color="auto"/>
          <w:bottom w:val="single" w:sz="4" w:space="1" w:color="auto"/>
          <w:right w:val="single" w:sz="4" w:space="4" w:color="auto"/>
        </w:pBdr>
        <w:spacing w:line="276" w:lineRule="auto"/>
        <w:rPr>
          <w:rStyle w:val="lev"/>
          <w:rFonts w:ascii="Arial" w:hAnsi="Arial" w:cs="Arial"/>
          <w:sz w:val="28"/>
          <w:szCs w:val="28"/>
        </w:rPr>
      </w:pPr>
      <w:r>
        <w:rPr>
          <w:rStyle w:val="lev"/>
          <w:rFonts w:ascii="Arial" w:hAnsi="Arial" w:cs="Arial"/>
          <w:i/>
          <w:iCs/>
          <w:sz w:val="28"/>
          <w:szCs w:val="28"/>
        </w:rPr>
        <w:t>------------------------------------------------------------------------------------------------</w:t>
      </w:r>
    </w:p>
    <w:p w14:paraId="2F557E9F" w14:textId="77777777" w:rsidR="00EB4C2C" w:rsidRPr="00406FCF" w:rsidRDefault="00EB4C2C" w:rsidP="00EB4C2C">
      <w:pPr>
        <w:pStyle w:val="paragraphesansretrait"/>
        <w:pBdr>
          <w:top w:val="single" w:sz="4" w:space="1" w:color="auto"/>
          <w:left w:val="single" w:sz="4" w:space="4" w:color="auto"/>
          <w:bottom w:val="single" w:sz="4" w:space="1" w:color="auto"/>
          <w:right w:val="single" w:sz="4" w:space="4" w:color="auto"/>
        </w:pBdr>
        <w:spacing w:line="276" w:lineRule="auto"/>
        <w:rPr>
          <w:rFonts w:ascii="Arial" w:hAnsi="Arial" w:cs="Arial"/>
          <w:b/>
          <w:bCs/>
          <w:color w:val="7030A0"/>
        </w:rPr>
      </w:pPr>
      <w:r w:rsidRPr="00406FCF">
        <w:rPr>
          <w:rStyle w:val="lev"/>
          <w:rFonts w:ascii="Arial" w:hAnsi="Arial" w:cs="Arial"/>
          <w:color w:val="7030A0"/>
        </w:rPr>
        <w:t xml:space="preserve">Remarque : depuis, la législation en Irlande a changé, mais </w:t>
      </w:r>
      <w:r w:rsidRPr="00406FCF">
        <w:rPr>
          <w:rFonts w:ascii="Arial" w:hAnsi="Arial" w:cs="Arial"/>
          <w:b/>
          <w:bCs/>
          <w:color w:val="7030A0"/>
        </w:rPr>
        <w:t>l'IVG reste compliquée trois ans après la légalisation</w:t>
      </w:r>
    </w:p>
    <w:p w14:paraId="7DE76CB4" w14:textId="77777777" w:rsidR="00EB4C2C" w:rsidRPr="00A51646" w:rsidRDefault="00EB4C2C" w:rsidP="00EB4C2C">
      <w:pPr>
        <w:pStyle w:val="paragraphesansretrait"/>
        <w:pBdr>
          <w:top w:val="single" w:sz="4" w:space="1" w:color="auto"/>
          <w:left w:val="single" w:sz="4" w:space="4" w:color="auto"/>
          <w:bottom w:val="single" w:sz="4" w:space="1" w:color="auto"/>
          <w:right w:val="single" w:sz="4" w:space="4" w:color="auto"/>
        </w:pBdr>
        <w:spacing w:line="276" w:lineRule="auto"/>
        <w:rPr>
          <w:rFonts w:ascii="Arial" w:hAnsi="Arial" w:cs="Arial"/>
          <w:b/>
          <w:bCs/>
        </w:rPr>
      </w:pPr>
      <w:hyperlink r:id="rId7" w:history="1">
        <w:r w:rsidRPr="003329C5">
          <w:rPr>
            <w:rStyle w:val="Lienhypertexte"/>
            <w:rFonts w:ascii="Arial" w:hAnsi="Arial" w:cs="Arial"/>
          </w:rPr>
          <w:t>https://dgemc.ac-versailles.fr/spip.php?article1156</w:t>
        </w:r>
      </w:hyperlink>
    </w:p>
    <w:p w14:paraId="32423884" w14:textId="77777777" w:rsidR="00EB4C2C" w:rsidRDefault="00EB4C2C" w:rsidP="00EB4C2C">
      <w:pPr>
        <w:spacing w:after="300" w:line="276" w:lineRule="auto"/>
        <w:jc w:val="both"/>
        <w:textAlignment w:val="baseline"/>
        <w:rPr>
          <w:rFonts w:ascii="Arial" w:hAnsi="Arial" w:cs="Arial"/>
          <w:b/>
          <w:bCs/>
          <w:color w:val="000000" w:themeColor="text1"/>
          <w:sz w:val="28"/>
          <w:szCs w:val="28"/>
        </w:rPr>
      </w:pPr>
    </w:p>
    <w:p w14:paraId="317EF4FF" w14:textId="77777777" w:rsidR="00EB4C2C" w:rsidRDefault="00EB4C2C" w:rsidP="00EB4C2C">
      <w:pPr>
        <w:spacing w:after="300" w:line="276" w:lineRule="auto"/>
        <w:jc w:val="both"/>
        <w:textAlignment w:val="baseline"/>
        <w:rPr>
          <w:rFonts w:ascii="Arial" w:hAnsi="Arial" w:cs="Arial"/>
          <w:b/>
          <w:bCs/>
          <w:color w:val="000000" w:themeColor="text1"/>
          <w:sz w:val="36"/>
          <w:szCs w:val="36"/>
        </w:rPr>
      </w:pPr>
      <w:r w:rsidRPr="006F2D37">
        <w:rPr>
          <w:rFonts w:ascii="Arial" w:hAnsi="Arial" w:cs="Arial"/>
          <w:b/>
          <w:bCs/>
          <w:color w:val="000000" w:themeColor="text1"/>
          <w:sz w:val="36"/>
          <w:szCs w:val="36"/>
          <w:highlight w:val="cyan"/>
        </w:rPr>
        <w:t>La marge d’appréciation laissée aux États par les juges de la Cour EDH</w:t>
      </w:r>
    </w:p>
    <w:p w14:paraId="6E89BAB1" w14:textId="77777777" w:rsidR="00EB4C2C" w:rsidRPr="006F2D37" w:rsidRDefault="00EB4C2C" w:rsidP="00EB4C2C">
      <w:pPr>
        <w:spacing w:after="300" w:line="276" w:lineRule="auto"/>
        <w:jc w:val="both"/>
        <w:textAlignment w:val="baseline"/>
        <w:rPr>
          <w:rFonts w:ascii="Arial" w:hAnsi="Arial" w:cs="Arial"/>
          <w:b/>
          <w:bCs/>
          <w:color w:val="000000" w:themeColor="text1"/>
          <w:sz w:val="36"/>
          <w:szCs w:val="36"/>
        </w:rPr>
      </w:pPr>
    </w:p>
    <w:p w14:paraId="34CC1342"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p>
    <w:p w14:paraId="140BA7AA" w14:textId="77777777" w:rsidR="00EB4C2C" w:rsidRPr="00406FCF"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r w:rsidRPr="00406FCF">
        <w:rPr>
          <w:rFonts w:ascii="Arial" w:hAnsi="Arial" w:cs="Arial"/>
          <w:color w:val="000000" w:themeColor="text1"/>
          <w:sz w:val="28"/>
          <w:szCs w:val="28"/>
          <w:lang w:eastAsia="fr-FR"/>
        </w:rPr>
        <w:t>A propos de l'article 2 de la convention : le droit peut-il dire quand commence le droit à la vie ?</w:t>
      </w:r>
    </w:p>
    <w:p w14:paraId="1E2BF2B0" w14:textId="77777777" w:rsidR="00EB4C2C" w:rsidRPr="00406FCF"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r w:rsidRPr="00406FCF">
        <w:rPr>
          <w:rFonts w:ascii="Arial" w:hAnsi="Arial" w:cs="Arial"/>
          <w:color w:val="000000" w:themeColor="text1"/>
          <w:sz w:val="28"/>
          <w:szCs w:val="28"/>
          <w:lang w:eastAsia="fr-FR"/>
        </w:rPr>
        <w:t xml:space="preserve">Les positions de la Cour EDH relativement à l’avortement sont les suivantes : dans la mesure où il est impossible de répondre à la question de savoir si l'enfant à naître est une personne ou non, la Cour EDH laisse aux </w:t>
      </w:r>
      <w:proofErr w:type="spellStart"/>
      <w:r w:rsidRPr="00406FCF">
        <w:rPr>
          <w:rFonts w:ascii="Arial" w:hAnsi="Arial" w:cs="Arial"/>
          <w:color w:val="000000" w:themeColor="text1"/>
          <w:sz w:val="28"/>
          <w:szCs w:val="28"/>
          <w:lang w:eastAsia="fr-FR"/>
        </w:rPr>
        <w:t>Etats</w:t>
      </w:r>
      <w:proofErr w:type="spellEnd"/>
      <w:r w:rsidRPr="00406FCF">
        <w:rPr>
          <w:rFonts w:ascii="Arial" w:hAnsi="Arial" w:cs="Arial"/>
          <w:color w:val="000000" w:themeColor="text1"/>
          <w:sz w:val="28"/>
          <w:szCs w:val="28"/>
          <w:lang w:eastAsia="fr-FR"/>
        </w:rPr>
        <w:t xml:space="preserve"> une marge d'appréciation. C'est pourquoi la Cour n'a jamais reconnu un droit à l'avortement et qu'elle ne condamne pas les pays qui l'interdisent </w:t>
      </w:r>
      <w:proofErr w:type="gramStart"/>
      <w:r w:rsidRPr="00406FCF">
        <w:rPr>
          <w:rFonts w:ascii="Arial" w:hAnsi="Arial" w:cs="Arial"/>
          <w:color w:val="000000" w:themeColor="text1"/>
          <w:sz w:val="28"/>
          <w:szCs w:val="28"/>
          <w:lang w:eastAsia="fr-FR"/>
        </w:rPr>
        <w:t>ou</w:t>
      </w:r>
      <w:proofErr w:type="gramEnd"/>
      <w:r w:rsidRPr="00406FCF">
        <w:rPr>
          <w:rFonts w:ascii="Arial" w:hAnsi="Arial" w:cs="Arial"/>
          <w:color w:val="000000" w:themeColor="text1"/>
          <w:sz w:val="28"/>
          <w:szCs w:val="28"/>
          <w:lang w:eastAsia="fr-FR"/>
        </w:rPr>
        <w:t xml:space="preserve"> le limitent.</w:t>
      </w:r>
    </w:p>
    <w:p w14:paraId="1709F9D2" w14:textId="77777777" w:rsidR="00EB4C2C" w:rsidRPr="00406FCF"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r w:rsidRPr="00406FCF">
        <w:rPr>
          <w:rFonts w:ascii="Arial" w:hAnsi="Arial" w:cs="Arial"/>
          <w:color w:val="000000" w:themeColor="text1"/>
          <w:sz w:val="28"/>
          <w:szCs w:val="28"/>
          <w:lang w:eastAsia="fr-FR"/>
        </w:rPr>
        <w:t> </w:t>
      </w:r>
    </w:p>
    <w:p w14:paraId="74C1A362"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r w:rsidRPr="00406FCF">
        <w:rPr>
          <w:rFonts w:ascii="Arial" w:hAnsi="Arial" w:cs="Arial"/>
          <w:color w:val="000000" w:themeColor="text1"/>
          <w:sz w:val="28"/>
          <w:szCs w:val="28"/>
          <w:lang w:eastAsia="fr-FR"/>
        </w:rPr>
        <w:t>Sur cette question du point de départ du droit à la vie qui débouche sur celle de savoir si l'enfant à naître est une personne au sens de l'art 2 de la convention, lire l'arrêt  </w:t>
      </w:r>
      <w:hyperlink r:id="rId8" w:tgtFrame="_blank" w:history="1">
        <w:r w:rsidRPr="00406FCF">
          <w:rPr>
            <w:rFonts w:ascii="Arial" w:hAnsi="Arial" w:cs="Arial"/>
            <w:color w:val="000000" w:themeColor="text1"/>
            <w:sz w:val="28"/>
            <w:szCs w:val="28"/>
            <w:u w:val="single"/>
            <w:lang w:eastAsia="fr-FR"/>
          </w:rPr>
          <w:t xml:space="preserve">Affaire VO </w:t>
        </w:r>
        <w:proofErr w:type="spellStart"/>
        <w:proofErr w:type="gramStart"/>
        <w:r w:rsidRPr="00406FCF">
          <w:rPr>
            <w:rFonts w:ascii="Arial" w:hAnsi="Arial" w:cs="Arial"/>
            <w:color w:val="000000" w:themeColor="text1"/>
            <w:sz w:val="28"/>
            <w:szCs w:val="28"/>
            <w:u w:val="single"/>
            <w:lang w:eastAsia="fr-FR"/>
          </w:rPr>
          <w:t>c.France</w:t>
        </w:r>
        <w:proofErr w:type="spellEnd"/>
        <w:proofErr w:type="gramEnd"/>
        <w:r w:rsidRPr="00406FCF">
          <w:rPr>
            <w:rFonts w:ascii="Arial" w:hAnsi="Arial" w:cs="Arial"/>
            <w:color w:val="000000" w:themeColor="text1"/>
            <w:sz w:val="28"/>
            <w:szCs w:val="28"/>
            <w:u w:val="single"/>
            <w:lang w:eastAsia="fr-FR"/>
          </w:rPr>
          <w:t>,</w:t>
        </w:r>
      </w:hyperlink>
      <w:r w:rsidRPr="00406FCF">
        <w:rPr>
          <w:rFonts w:ascii="Arial" w:hAnsi="Arial" w:cs="Arial"/>
          <w:color w:val="000000" w:themeColor="text1"/>
          <w:sz w:val="28"/>
          <w:szCs w:val="28"/>
          <w:lang w:eastAsia="fr-FR"/>
        </w:rPr>
        <w:t> dont voici  des extraits :</w:t>
      </w:r>
    </w:p>
    <w:p w14:paraId="43A5EC59"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p>
    <w:p w14:paraId="4F68F503"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p>
    <w:p w14:paraId="088C5666" w14:textId="77777777" w:rsidR="00EB4C2C" w:rsidRPr="006F2D37"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8"/>
          <w:szCs w:val="28"/>
          <w:lang w:eastAsia="fr-FR"/>
        </w:rPr>
      </w:pPr>
      <w:r w:rsidRPr="006F2D37">
        <w:rPr>
          <w:rFonts w:ascii="Arial" w:eastAsia="Times New Roman" w:hAnsi="Arial" w:cs="Arial"/>
          <w:color w:val="46494D"/>
          <w:sz w:val="28"/>
          <w:szCs w:val="28"/>
          <w:lang w:eastAsia="fr-FR"/>
        </w:rPr>
        <w:t>"75. Contrairement à l’art. 4 de la Convention américaine des droits de l’homme qui énonce que le droit à la vie doit être protégé « en général à partir de la conception »,</w:t>
      </w:r>
      <w:r w:rsidRPr="006F2D37">
        <w:rPr>
          <w:rFonts w:ascii="Arial" w:eastAsia="Times New Roman" w:hAnsi="Arial" w:cs="Arial"/>
          <w:b/>
          <w:bCs/>
          <w:color w:val="46494D"/>
          <w:sz w:val="28"/>
          <w:szCs w:val="28"/>
          <w:lang w:eastAsia="fr-FR"/>
        </w:rPr>
        <w:t xml:space="preserve"> l’art. 2 de la </w:t>
      </w:r>
      <w:proofErr w:type="spellStart"/>
      <w:r w:rsidRPr="006F2D37">
        <w:rPr>
          <w:rFonts w:ascii="Arial" w:eastAsia="Times New Roman" w:hAnsi="Arial" w:cs="Arial"/>
          <w:b/>
          <w:bCs/>
          <w:color w:val="46494D"/>
          <w:sz w:val="28"/>
          <w:szCs w:val="28"/>
          <w:lang w:eastAsia="fr-FR"/>
        </w:rPr>
        <w:t>Conv.EDH</w:t>
      </w:r>
      <w:proofErr w:type="spellEnd"/>
      <w:r w:rsidRPr="006F2D37">
        <w:rPr>
          <w:rFonts w:ascii="Arial" w:eastAsia="Times New Roman" w:hAnsi="Arial" w:cs="Arial"/>
          <w:b/>
          <w:bCs/>
          <w:color w:val="46494D"/>
          <w:sz w:val="28"/>
          <w:szCs w:val="28"/>
          <w:lang w:eastAsia="fr-FR"/>
        </w:rPr>
        <w:t xml:space="preserve"> est silencieux sur les limites temporelles du droit à la vie et, en particulier, il ne définit pas qui est la</w:t>
      </w:r>
      <w:proofErr w:type="gramStart"/>
      <w:r w:rsidRPr="006F2D37">
        <w:rPr>
          <w:rFonts w:ascii="Arial" w:eastAsia="Times New Roman" w:hAnsi="Arial" w:cs="Arial"/>
          <w:b/>
          <w:bCs/>
          <w:color w:val="46494D"/>
          <w:sz w:val="28"/>
          <w:szCs w:val="28"/>
          <w:lang w:eastAsia="fr-FR"/>
        </w:rPr>
        <w:t xml:space="preserve"> «personne</w:t>
      </w:r>
      <w:proofErr w:type="gramEnd"/>
      <w:r w:rsidRPr="006F2D37">
        <w:rPr>
          <w:rFonts w:ascii="Arial" w:eastAsia="Times New Roman" w:hAnsi="Arial" w:cs="Arial"/>
          <w:b/>
          <w:bCs/>
          <w:color w:val="46494D"/>
          <w:sz w:val="28"/>
          <w:szCs w:val="28"/>
          <w:lang w:eastAsia="fr-FR"/>
        </w:rPr>
        <w:t xml:space="preserve">» dont «la vie» est protégée par la Convention. À ce jour, la Cour n’a pas encore tranché la question du commencement du droit « de toute personne à la vie », au sens de cette disposition, ni celle de savoir si l’enfant à naître en est </w:t>
      </w:r>
      <w:proofErr w:type="gramStart"/>
      <w:r w:rsidRPr="006F2D37">
        <w:rPr>
          <w:rFonts w:ascii="Arial" w:eastAsia="Times New Roman" w:hAnsi="Arial" w:cs="Arial"/>
          <w:b/>
          <w:bCs/>
          <w:color w:val="46494D"/>
          <w:sz w:val="28"/>
          <w:szCs w:val="28"/>
          <w:lang w:eastAsia="fr-FR"/>
        </w:rPr>
        <w:t>titulaire</w:t>
      </w:r>
      <w:r w:rsidRPr="006F2D37">
        <w:rPr>
          <w:rFonts w:ascii="Arial" w:eastAsia="Times New Roman" w:hAnsi="Arial" w:cs="Arial"/>
          <w:color w:val="46494D"/>
          <w:sz w:val="28"/>
          <w:szCs w:val="28"/>
          <w:lang w:eastAsia="fr-FR"/>
        </w:rPr>
        <w:t>.(</w:t>
      </w:r>
      <w:proofErr w:type="gramEnd"/>
      <w:r w:rsidRPr="006F2D37">
        <w:rPr>
          <w:rFonts w:ascii="Arial" w:eastAsia="Times New Roman" w:hAnsi="Arial" w:cs="Arial"/>
          <w:color w:val="46494D"/>
          <w:sz w:val="28"/>
          <w:szCs w:val="28"/>
          <w:lang w:eastAsia="fr-FR"/>
        </w:rPr>
        <w:t>…)</w:t>
      </w:r>
    </w:p>
    <w:p w14:paraId="0ADB4686" w14:textId="77777777" w:rsidR="00EB4C2C" w:rsidRPr="006F2D37"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8"/>
          <w:szCs w:val="28"/>
          <w:lang w:eastAsia="fr-FR"/>
        </w:rPr>
      </w:pPr>
      <w:r w:rsidRPr="006F2D37">
        <w:rPr>
          <w:rFonts w:ascii="Arial" w:eastAsia="Times New Roman" w:hAnsi="Arial" w:cs="Arial"/>
          <w:color w:val="46494D"/>
          <w:sz w:val="28"/>
          <w:szCs w:val="28"/>
          <w:lang w:eastAsia="fr-FR"/>
        </w:rPr>
        <w:t>80. (...) dans les circonstances examinées par les organes de la Convention à ce jour,</w:t>
      </w:r>
      <w:r w:rsidRPr="006F2D37">
        <w:rPr>
          <w:rFonts w:ascii="Arial" w:eastAsia="Times New Roman" w:hAnsi="Arial" w:cs="Arial"/>
          <w:b/>
          <w:bCs/>
          <w:color w:val="46494D"/>
          <w:sz w:val="28"/>
          <w:szCs w:val="28"/>
          <w:lang w:eastAsia="fr-FR"/>
        </w:rPr>
        <w:t> à savoir les législations régissant l’avortement, l’enfant à naître n’est pas considéré comme une « personne » directement bénéficiaire de l’art. 2 de la Convention et que son « droit » à la « vie », s’il existe, se trouve implicitement limité par les droits et les intérêts de sa mère. Les organes de la Convention n’excluent toutefois pas que, dans certaines circonstances, des garanties puissent être admises au bénéfice de l’enfant non encore né (...).</w:t>
      </w:r>
    </w:p>
    <w:p w14:paraId="192D3063" w14:textId="77777777" w:rsidR="00EB4C2C" w:rsidRPr="006F2D37"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8"/>
          <w:szCs w:val="28"/>
          <w:lang w:eastAsia="fr-FR"/>
        </w:rPr>
      </w:pPr>
      <w:r w:rsidRPr="006F2D37">
        <w:rPr>
          <w:rFonts w:ascii="Arial" w:eastAsia="Times New Roman" w:hAnsi="Arial" w:cs="Arial"/>
          <w:color w:val="46494D"/>
          <w:sz w:val="28"/>
          <w:szCs w:val="28"/>
          <w:lang w:eastAsia="fr-FR"/>
        </w:rPr>
        <w:lastRenderedPageBreak/>
        <w:t>82. Comme cela découle du rappel jurisprudentiel effectué ci-dessus,</w:t>
      </w:r>
      <w:r w:rsidRPr="006F2D37">
        <w:rPr>
          <w:rFonts w:ascii="Arial" w:eastAsia="Times New Roman" w:hAnsi="Arial" w:cs="Arial"/>
          <w:b/>
          <w:bCs/>
          <w:color w:val="46494D"/>
          <w:sz w:val="28"/>
          <w:szCs w:val="28"/>
          <w:lang w:eastAsia="fr-FR"/>
        </w:rPr>
        <w:t> l’interprétation de l’art. 2 à cet égard s’est faite dans un souci évident d’équilibre, et la position des organes de la Convention, au regard des dimensions juridiques, médicales, philosophiques, éthiques ou religieuses de la définition de la personne humaine a pris en considération les différentes approches nationales du problème. Ce choix s’est traduit par la prise en compte de la diversité des conceptions quant au point de départ de la vie, des cultures juridiques et des standards de protection nationaux, laissant place à un large pouvoir discrétionnaire de l’État en la matière ... Il en résulte que le point de départ du droit à la vie relève de la marge d’appréciation des États dont la Cour tend à considérer qu’elle doit leur être reconnue dans ce domaine </w:t>
      </w:r>
      <w:r w:rsidRPr="006F2D37">
        <w:rPr>
          <w:rFonts w:ascii="Arial" w:eastAsia="Times New Roman" w:hAnsi="Arial" w:cs="Arial"/>
          <w:color w:val="46494D"/>
          <w:sz w:val="28"/>
          <w:szCs w:val="28"/>
          <w:lang w:eastAsia="fr-FR"/>
        </w:rPr>
        <w:t>(…)</w:t>
      </w:r>
    </w:p>
    <w:p w14:paraId="75A61829" w14:textId="77777777" w:rsidR="00EB4C2C" w:rsidRPr="00791E0D"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000000" w:themeColor="text1"/>
          <w:sz w:val="28"/>
          <w:szCs w:val="28"/>
          <w:lang w:eastAsia="fr-FR"/>
        </w:rPr>
      </w:pPr>
      <w:r w:rsidRPr="00791E0D">
        <w:rPr>
          <w:rFonts w:ascii="Arial" w:eastAsia="Times New Roman" w:hAnsi="Arial" w:cs="Arial"/>
          <w:color w:val="000000" w:themeColor="text1"/>
          <w:sz w:val="28"/>
          <w:szCs w:val="28"/>
          <w:lang w:eastAsia="fr-FR"/>
        </w:rPr>
        <w:t>85. Eu égard à ce qui précède, la Cour est convaincue qu’il n’est ni souhaitable ni même possible actuellement de répondre dans l’abstrait à la question de savoir si l’enfant à naître est une « personne » au sens de l’art. 2 de la Convention."</w:t>
      </w:r>
    </w:p>
    <w:p w14:paraId="7FF9C0B2" w14:textId="77777777" w:rsidR="00EB4C2C" w:rsidRPr="00406FCF"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themeColor="text1"/>
          <w:sz w:val="28"/>
          <w:szCs w:val="28"/>
          <w:lang w:eastAsia="fr-FR"/>
        </w:rPr>
      </w:pPr>
    </w:p>
    <w:p w14:paraId="2B626AC5" w14:textId="77777777" w:rsidR="00EB4C2C" w:rsidRDefault="00EB4C2C" w:rsidP="00EB4C2C">
      <w:pPr>
        <w:spacing w:line="276" w:lineRule="auto"/>
        <w:rPr>
          <w:rFonts w:ascii="Arial" w:hAnsi="Arial" w:cs="Arial"/>
          <w:color w:val="46494D"/>
          <w:sz w:val="28"/>
          <w:szCs w:val="28"/>
          <w:lang w:eastAsia="fr-FR"/>
        </w:rPr>
      </w:pPr>
    </w:p>
    <w:p w14:paraId="79A6D603" w14:textId="77777777" w:rsidR="00EB4C2C" w:rsidRPr="00767913" w:rsidRDefault="00EB4C2C" w:rsidP="00EB4C2C">
      <w:pPr>
        <w:spacing w:line="276" w:lineRule="auto"/>
        <w:rPr>
          <w:rFonts w:ascii="Arial" w:hAnsi="Arial" w:cs="Arial"/>
          <w:color w:val="46494D"/>
          <w:sz w:val="28"/>
          <w:szCs w:val="28"/>
          <w:lang w:eastAsia="fr-FR"/>
        </w:rPr>
      </w:pPr>
    </w:p>
    <w:p w14:paraId="106D381D" w14:textId="77777777" w:rsidR="00EB4C2C" w:rsidRDefault="00EB4C2C" w:rsidP="00EB4C2C">
      <w:pPr>
        <w:spacing w:line="276" w:lineRule="auto"/>
        <w:rPr>
          <w:rFonts w:ascii="Arial" w:hAnsi="Arial" w:cs="Arial"/>
          <w:sz w:val="28"/>
          <w:szCs w:val="28"/>
        </w:rPr>
      </w:pPr>
    </w:p>
    <w:p w14:paraId="490E704D" w14:textId="77777777" w:rsidR="00EB4C2C" w:rsidRPr="006F2D37" w:rsidRDefault="00EB4C2C" w:rsidP="00EB4C2C">
      <w:pPr>
        <w:spacing w:line="276" w:lineRule="auto"/>
        <w:rPr>
          <w:rFonts w:ascii="Arial" w:hAnsi="Arial" w:cs="Arial"/>
          <w:sz w:val="28"/>
          <w:szCs w:val="28"/>
        </w:rPr>
      </w:pPr>
    </w:p>
    <w:p w14:paraId="49F7038D"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r w:rsidRPr="003329C5">
        <w:rPr>
          <w:rFonts w:ascii="Arial" w:hAnsi="Arial" w:cs="Arial"/>
          <w:color w:val="4472C4" w:themeColor="accent1"/>
          <w:sz w:val="28"/>
          <w:szCs w:val="28"/>
        </w:rPr>
        <w:t xml:space="preserve">Questions : </w:t>
      </w:r>
    </w:p>
    <w:p w14:paraId="2450204D" w14:textId="77777777" w:rsidR="00EB4C2C" w:rsidRPr="003329C5"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p>
    <w:p w14:paraId="30F3E8EA"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r>
        <w:rPr>
          <w:rFonts w:ascii="Arial" w:hAnsi="Arial" w:cs="Arial"/>
          <w:color w:val="4472C4" w:themeColor="accent1"/>
          <w:sz w:val="28"/>
          <w:szCs w:val="28"/>
        </w:rPr>
        <w:t xml:space="preserve">1. </w:t>
      </w:r>
      <w:r w:rsidRPr="003329C5">
        <w:rPr>
          <w:rFonts w:ascii="Arial" w:hAnsi="Arial" w:cs="Arial"/>
          <w:color w:val="4472C4" w:themeColor="accent1"/>
          <w:sz w:val="28"/>
          <w:szCs w:val="28"/>
        </w:rPr>
        <w:t>Effectuer des recherches sur l’article 2 de la Convention européenne des droits de l’homme. En profiter pour comprendre qu’il y a eu des protocoles additionnels.</w:t>
      </w:r>
    </w:p>
    <w:p w14:paraId="183B22AA"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p>
    <w:p w14:paraId="2FAD9C71" w14:textId="77777777" w:rsidR="00EB4C2C" w:rsidRPr="003329C5"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r>
        <w:rPr>
          <w:rFonts w:ascii="Arial" w:hAnsi="Arial" w:cs="Arial"/>
          <w:color w:val="4472C4" w:themeColor="accent1"/>
          <w:sz w:val="28"/>
          <w:szCs w:val="28"/>
        </w:rPr>
        <w:t>2. L’article 2 précise-t-il les limites temporelles du droit à la vie ?</w:t>
      </w:r>
    </w:p>
    <w:p w14:paraId="325755DF" w14:textId="77777777" w:rsidR="00EB4C2C" w:rsidRPr="003329C5"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p>
    <w:p w14:paraId="5B86160A" w14:textId="77777777" w:rsidR="00EB4C2C" w:rsidRPr="003329C5"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r>
        <w:rPr>
          <w:rFonts w:ascii="Arial" w:hAnsi="Arial" w:cs="Arial"/>
          <w:color w:val="4472C4" w:themeColor="accent1"/>
          <w:sz w:val="28"/>
          <w:szCs w:val="28"/>
        </w:rPr>
        <w:t xml:space="preserve">3. </w:t>
      </w:r>
      <w:r w:rsidRPr="003329C5">
        <w:rPr>
          <w:rFonts w:ascii="Arial" w:hAnsi="Arial" w:cs="Arial"/>
          <w:color w:val="4472C4" w:themeColor="accent1"/>
          <w:sz w:val="28"/>
          <w:szCs w:val="28"/>
        </w:rPr>
        <w:t>Qu’est -ce qu</w:t>
      </w:r>
      <w:proofErr w:type="gramStart"/>
      <w:r w:rsidRPr="003329C5">
        <w:rPr>
          <w:rFonts w:ascii="Arial" w:hAnsi="Arial" w:cs="Arial"/>
          <w:color w:val="4472C4" w:themeColor="accent1"/>
          <w:sz w:val="28"/>
          <w:szCs w:val="28"/>
        </w:rPr>
        <w:t>’</w:t>
      </w:r>
      <w:r>
        <w:rPr>
          <w:rFonts w:ascii="Arial" w:hAnsi="Arial" w:cs="Arial"/>
          <w:color w:val="4472C4" w:themeColor="accent1"/>
          <w:sz w:val="28"/>
          <w:szCs w:val="28"/>
        </w:rPr>
        <w:t>«</w:t>
      </w:r>
      <w:proofErr w:type="gramEnd"/>
      <w:r>
        <w:rPr>
          <w:rFonts w:ascii="Arial" w:hAnsi="Arial" w:cs="Arial"/>
          <w:color w:val="4472C4" w:themeColor="accent1"/>
          <w:sz w:val="28"/>
          <w:szCs w:val="28"/>
        </w:rPr>
        <w:t> </w:t>
      </w:r>
      <w:r w:rsidRPr="003329C5">
        <w:rPr>
          <w:rFonts w:ascii="Arial" w:hAnsi="Arial" w:cs="Arial"/>
          <w:color w:val="4472C4" w:themeColor="accent1"/>
          <w:sz w:val="28"/>
          <w:szCs w:val="28"/>
        </w:rPr>
        <w:t>une personne</w:t>
      </w:r>
      <w:r>
        <w:rPr>
          <w:rFonts w:ascii="Arial" w:hAnsi="Arial" w:cs="Arial"/>
          <w:color w:val="4472C4" w:themeColor="accent1"/>
          <w:sz w:val="28"/>
          <w:szCs w:val="28"/>
        </w:rPr>
        <w:t> »</w:t>
      </w:r>
      <w:r w:rsidRPr="003329C5">
        <w:rPr>
          <w:rFonts w:ascii="Arial" w:hAnsi="Arial" w:cs="Arial"/>
          <w:color w:val="4472C4" w:themeColor="accent1"/>
          <w:sz w:val="28"/>
          <w:szCs w:val="28"/>
        </w:rPr>
        <w:t xml:space="preserve"> en droit ? En France quand acquiert-on la personnalité juridique ?</w:t>
      </w:r>
    </w:p>
    <w:p w14:paraId="42086928" w14:textId="77777777" w:rsidR="00EB4C2C" w:rsidRPr="003329C5"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p>
    <w:p w14:paraId="57B6F01B"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b/>
          <w:bCs/>
          <w:color w:val="4472C4" w:themeColor="accent1"/>
          <w:sz w:val="28"/>
          <w:szCs w:val="28"/>
        </w:rPr>
      </w:pPr>
      <w:r>
        <w:rPr>
          <w:rFonts w:ascii="Arial" w:hAnsi="Arial" w:cs="Arial"/>
          <w:color w:val="4472C4" w:themeColor="accent1"/>
          <w:sz w:val="28"/>
          <w:szCs w:val="28"/>
        </w:rPr>
        <w:t>4. Expliquer : « </w:t>
      </w:r>
      <w:r w:rsidRPr="003329C5">
        <w:rPr>
          <w:rFonts w:ascii="Arial" w:hAnsi="Arial" w:cs="Arial"/>
          <w:b/>
          <w:bCs/>
          <w:color w:val="4472C4" w:themeColor="accent1"/>
          <w:sz w:val="28"/>
          <w:szCs w:val="28"/>
        </w:rPr>
        <w:t>le point de départ du droit à la vie relève de la marge d’appréciation des États dont la Cour tend à considérer qu’elle doit leur être reconnue dans ce domaine</w:t>
      </w:r>
      <w:r>
        <w:rPr>
          <w:rFonts w:ascii="Arial" w:hAnsi="Arial" w:cs="Arial"/>
          <w:b/>
          <w:bCs/>
          <w:color w:val="4472C4" w:themeColor="accent1"/>
          <w:sz w:val="28"/>
          <w:szCs w:val="28"/>
        </w:rPr>
        <w:t> »</w:t>
      </w:r>
    </w:p>
    <w:p w14:paraId="20262E14"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b/>
          <w:bCs/>
          <w:color w:val="4472C4" w:themeColor="accent1"/>
          <w:sz w:val="28"/>
          <w:szCs w:val="28"/>
        </w:rPr>
      </w:pPr>
    </w:p>
    <w:p w14:paraId="73C268D0"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b/>
          <w:bCs/>
          <w:color w:val="4472C4" w:themeColor="accent1"/>
          <w:sz w:val="28"/>
          <w:szCs w:val="28"/>
        </w:rPr>
      </w:pPr>
      <w:r>
        <w:rPr>
          <w:rFonts w:ascii="Arial" w:hAnsi="Arial" w:cs="Arial"/>
          <w:b/>
          <w:bCs/>
          <w:color w:val="4472C4" w:themeColor="accent1"/>
          <w:sz w:val="28"/>
          <w:szCs w:val="28"/>
        </w:rPr>
        <w:t xml:space="preserve">5. Pourquoi la cour se refuse-t-elle à répondre à la question de savoir </w:t>
      </w:r>
      <w:r w:rsidRPr="00791E0D">
        <w:rPr>
          <w:rFonts w:ascii="Arial" w:hAnsi="Arial" w:cs="Arial"/>
          <w:b/>
          <w:bCs/>
          <w:color w:val="4472C4" w:themeColor="accent1"/>
          <w:sz w:val="28"/>
          <w:szCs w:val="28"/>
        </w:rPr>
        <w:t>si l’enfant à naître est une « personne » au sens de l’art. 2 de la Convention."</w:t>
      </w:r>
      <w:r>
        <w:rPr>
          <w:rFonts w:ascii="Arial" w:hAnsi="Arial" w:cs="Arial"/>
          <w:b/>
          <w:bCs/>
          <w:color w:val="4472C4" w:themeColor="accent1"/>
          <w:sz w:val="28"/>
          <w:szCs w:val="28"/>
        </w:rPr>
        <w:t> ?</w:t>
      </w:r>
    </w:p>
    <w:p w14:paraId="043BF292"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b/>
          <w:bCs/>
          <w:color w:val="4472C4" w:themeColor="accent1"/>
          <w:sz w:val="28"/>
          <w:szCs w:val="28"/>
        </w:rPr>
      </w:pPr>
    </w:p>
    <w:p w14:paraId="0AD57A06" w14:textId="77777777" w:rsidR="00EB4C2C" w:rsidRDefault="00EB4C2C" w:rsidP="00EB4C2C">
      <w:pPr>
        <w:spacing w:line="276" w:lineRule="auto"/>
        <w:rPr>
          <w:rFonts w:ascii="Arial" w:hAnsi="Arial" w:cs="Arial"/>
          <w:b/>
          <w:bCs/>
          <w:color w:val="4472C4" w:themeColor="accent1"/>
          <w:sz w:val="28"/>
          <w:szCs w:val="28"/>
        </w:rPr>
      </w:pPr>
    </w:p>
    <w:p w14:paraId="3AB6E763" w14:textId="77777777" w:rsidR="00EB4C2C" w:rsidRDefault="00EB4C2C" w:rsidP="00EB4C2C">
      <w:pPr>
        <w:tabs>
          <w:tab w:val="left" w:pos="2184"/>
        </w:tabs>
        <w:spacing w:line="276" w:lineRule="auto"/>
        <w:jc w:val="both"/>
        <w:rPr>
          <w:rFonts w:ascii="Arial" w:hAnsi="Arial" w:cs="Arial"/>
          <w:sz w:val="36"/>
          <w:szCs w:val="36"/>
          <w:highlight w:val="cyan"/>
        </w:rPr>
      </w:pPr>
    </w:p>
    <w:p w14:paraId="15D78514" w14:textId="77777777" w:rsidR="00EB4C2C" w:rsidRDefault="00EB4C2C" w:rsidP="00EB4C2C">
      <w:pPr>
        <w:tabs>
          <w:tab w:val="left" w:pos="2184"/>
        </w:tabs>
        <w:spacing w:line="276" w:lineRule="auto"/>
        <w:jc w:val="both"/>
        <w:rPr>
          <w:rFonts w:ascii="Arial" w:hAnsi="Arial" w:cs="Arial"/>
          <w:sz w:val="36"/>
          <w:szCs w:val="36"/>
        </w:rPr>
      </w:pPr>
      <w:r w:rsidRPr="00394D62">
        <w:rPr>
          <w:rFonts w:ascii="Arial" w:hAnsi="Arial" w:cs="Arial"/>
          <w:sz w:val="36"/>
          <w:szCs w:val="36"/>
          <w:highlight w:val="cyan"/>
        </w:rPr>
        <w:t>Focus sur la Pologne</w:t>
      </w:r>
    </w:p>
    <w:p w14:paraId="08190804" w14:textId="77777777" w:rsidR="00EB4C2C" w:rsidRDefault="00EB4C2C" w:rsidP="00EB4C2C">
      <w:pPr>
        <w:tabs>
          <w:tab w:val="left" w:pos="2184"/>
        </w:tabs>
        <w:spacing w:line="276" w:lineRule="auto"/>
        <w:jc w:val="both"/>
        <w:rPr>
          <w:rFonts w:ascii="Arial" w:hAnsi="Arial" w:cs="Arial"/>
          <w:sz w:val="36"/>
          <w:szCs w:val="36"/>
        </w:rPr>
      </w:pPr>
    </w:p>
    <w:p w14:paraId="43553A53" w14:textId="77777777" w:rsidR="00EB4C2C" w:rsidRPr="00394D62"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hAnsi="Arial" w:cs="Arial"/>
          <w:b/>
          <w:bCs/>
          <w:color w:val="46494D"/>
          <w:sz w:val="21"/>
          <w:szCs w:val="21"/>
        </w:rPr>
      </w:pPr>
      <w:r>
        <w:rPr>
          <w:rFonts w:ascii="Arial" w:eastAsia="Times New Roman" w:hAnsi="Arial" w:cs="Arial"/>
          <w:color w:val="46494D"/>
          <w:sz w:val="21"/>
          <w:szCs w:val="21"/>
          <w:lang w:eastAsia="fr-FR"/>
        </w:rPr>
        <w:t xml:space="preserve">Document rédigé à partir de l’article </w:t>
      </w:r>
      <w:r w:rsidRPr="00394D62">
        <w:rPr>
          <w:rFonts w:ascii="Arial" w:hAnsi="Arial" w:cs="Arial"/>
          <w:b/>
          <w:bCs/>
          <w:color w:val="46494D"/>
          <w:sz w:val="21"/>
          <w:szCs w:val="21"/>
        </w:rPr>
        <w:t>« Il suffira d’une crise… </w:t>
      </w:r>
      <w:proofErr w:type="gramStart"/>
      <w:r w:rsidRPr="00394D62">
        <w:rPr>
          <w:rFonts w:ascii="Arial" w:hAnsi="Arial" w:cs="Arial"/>
          <w:b/>
          <w:bCs/>
          <w:color w:val="46494D"/>
          <w:sz w:val="21"/>
          <w:szCs w:val="21"/>
        </w:rPr>
        <w:t>»:</w:t>
      </w:r>
      <w:proofErr w:type="gramEnd"/>
      <w:r w:rsidRPr="00394D62">
        <w:rPr>
          <w:rFonts w:ascii="Arial" w:hAnsi="Arial" w:cs="Arial"/>
          <w:b/>
          <w:bCs/>
          <w:color w:val="46494D"/>
          <w:sz w:val="21"/>
          <w:szCs w:val="21"/>
        </w:rPr>
        <w:t xml:space="preserve"> la restriction du droit à l’avortement en Pologne, symptôme du déclin de l’État de droit</w:t>
      </w:r>
    </w:p>
    <w:p w14:paraId="37AB56D2" w14:textId="77777777" w:rsidR="00EB4C2C" w:rsidRPr="00394D62"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1"/>
          <w:szCs w:val="21"/>
          <w:lang w:eastAsia="fr-FR"/>
        </w:rPr>
      </w:pPr>
      <w:r w:rsidRPr="00394D62">
        <w:rPr>
          <w:rFonts w:ascii="Arial" w:eastAsia="Times New Roman" w:hAnsi="Arial" w:cs="Arial"/>
          <w:i/>
          <w:iCs/>
          <w:color w:val="46494D"/>
          <w:sz w:val="21"/>
          <w:szCs w:val="21"/>
          <w:lang w:eastAsia="fr-FR"/>
        </w:rPr>
        <w:t>À propos de la </w:t>
      </w:r>
      <w:hyperlink r:id="rId9" w:history="1">
        <w:r w:rsidRPr="00394D62">
          <w:rPr>
            <w:rStyle w:val="Lienhypertexte"/>
            <w:rFonts w:ascii="Arial" w:eastAsia="Times New Roman" w:hAnsi="Arial" w:cs="Arial"/>
            <w:i/>
            <w:iCs/>
            <w:sz w:val="21"/>
            <w:szCs w:val="21"/>
            <w:lang w:eastAsia="fr-FR"/>
          </w:rPr>
          <w:t>décision</w:t>
        </w:r>
      </w:hyperlink>
      <w:r w:rsidRPr="00394D62">
        <w:rPr>
          <w:rFonts w:ascii="Arial" w:eastAsia="Times New Roman" w:hAnsi="Arial" w:cs="Arial"/>
          <w:i/>
          <w:iCs/>
          <w:color w:val="46494D"/>
          <w:sz w:val="21"/>
          <w:szCs w:val="21"/>
          <w:lang w:eastAsia="fr-FR"/>
        </w:rPr>
        <w:t> du Tribunal constitutionnel polonais du 22 octobre 2020, « Planning familial, protection du fœtus humain et conditions d’interruption de grossesse », K 1/20.</w:t>
      </w:r>
    </w:p>
    <w:p w14:paraId="432E99DE" w14:textId="77777777" w:rsidR="00EB4C2C" w:rsidRPr="00394D62"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1"/>
          <w:szCs w:val="21"/>
          <w:lang w:eastAsia="fr-FR"/>
        </w:rPr>
      </w:pPr>
      <w:r w:rsidRPr="00394D62">
        <w:rPr>
          <w:rFonts w:ascii="Arial" w:eastAsia="Times New Roman" w:hAnsi="Arial" w:cs="Arial"/>
          <w:b/>
          <w:bCs/>
          <w:color w:val="46494D"/>
          <w:sz w:val="21"/>
          <w:szCs w:val="21"/>
          <w:lang w:eastAsia="fr-FR"/>
        </w:rPr>
        <w:t>Audrey </w:t>
      </w:r>
      <w:proofErr w:type="spellStart"/>
      <w:r w:rsidRPr="00394D62">
        <w:rPr>
          <w:rFonts w:ascii="Arial" w:eastAsia="Times New Roman" w:hAnsi="Arial" w:cs="Arial"/>
          <w:b/>
          <w:bCs/>
          <w:color w:val="46494D"/>
          <w:sz w:val="21"/>
          <w:szCs w:val="21"/>
          <w:lang w:eastAsia="fr-FR"/>
        </w:rPr>
        <w:t>Boisgontier</w:t>
      </w:r>
      <w:proofErr w:type="spellEnd"/>
    </w:p>
    <w:p w14:paraId="6DD1C2D8" w14:textId="77777777" w:rsidR="00EB4C2C"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1"/>
          <w:szCs w:val="21"/>
          <w:lang w:eastAsia="fr-FR"/>
        </w:rPr>
      </w:pPr>
      <w:hyperlink r:id="rId10" w:history="1">
        <w:r w:rsidRPr="00394D62">
          <w:rPr>
            <w:rStyle w:val="Lienhypertexte"/>
            <w:rFonts w:ascii="Arial" w:eastAsia="Times New Roman" w:hAnsi="Arial" w:cs="Arial"/>
            <w:sz w:val="21"/>
            <w:szCs w:val="21"/>
            <w:lang w:eastAsia="fr-FR"/>
          </w:rPr>
          <w:t>https://doi.org/10.4000/revdh.10668</w:t>
        </w:r>
      </w:hyperlink>
    </w:p>
    <w:p w14:paraId="232CD993"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rPr>
          <w:rFonts w:ascii="Verdana" w:eastAsia="Times New Roman" w:hAnsi="Verdana" w:cs="Times New Roman"/>
          <w:color w:val="000000"/>
          <w:sz w:val="28"/>
          <w:szCs w:val="28"/>
          <w:shd w:val="clear" w:color="auto" w:fill="FFFFFF"/>
          <w:lang w:eastAsia="fr-FR"/>
        </w:rPr>
      </w:pPr>
      <w:r w:rsidRPr="00EB4D95">
        <w:rPr>
          <w:rFonts w:ascii="Arial" w:eastAsia="Times New Roman" w:hAnsi="Arial" w:cs="Arial"/>
          <w:color w:val="46494D"/>
          <w:sz w:val="28"/>
          <w:szCs w:val="28"/>
          <w:lang w:eastAsia="fr-FR"/>
        </w:rPr>
        <w:t>Le titre de l’article fait référence à une citation de Simone de Beauvoir :</w:t>
      </w:r>
      <w:r w:rsidRPr="00EB4D95">
        <w:rPr>
          <w:rFonts w:ascii="Verdana" w:eastAsia="Times New Roman" w:hAnsi="Verdana" w:cs="Times New Roman"/>
          <w:color w:val="000000"/>
          <w:sz w:val="28"/>
          <w:szCs w:val="28"/>
          <w:shd w:val="clear" w:color="auto" w:fill="FFFFFF"/>
          <w:lang w:eastAsia="fr-FR"/>
        </w:rPr>
        <w:t xml:space="preserve"> </w:t>
      </w:r>
    </w:p>
    <w:p w14:paraId="0AA38EAF"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Verdana" w:eastAsia="Times New Roman" w:hAnsi="Verdana" w:cs="Times New Roman"/>
          <w:color w:val="000000"/>
          <w:sz w:val="28"/>
          <w:szCs w:val="28"/>
          <w:shd w:val="clear" w:color="auto" w:fill="FFFFFF"/>
          <w:lang w:eastAsia="fr-FR"/>
        </w:rPr>
      </w:pPr>
    </w:p>
    <w:p w14:paraId="3FA57E7B" w14:textId="77777777" w:rsidR="00EB4C2C" w:rsidRPr="00406FCF"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Verdana" w:eastAsia="Times New Roman" w:hAnsi="Verdana" w:cs="Times New Roman"/>
          <w:b/>
          <w:bCs/>
          <w:color w:val="7030A0"/>
          <w:sz w:val="28"/>
          <w:szCs w:val="28"/>
          <w:shd w:val="clear" w:color="auto" w:fill="FFFFFF"/>
          <w:lang w:eastAsia="fr-FR"/>
        </w:rPr>
      </w:pPr>
      <w:r w:rsidRPr="00406FCF">
        <w:rPr>
          <w:rFonts w:ascii="Verdana" w:eastAsia="Times New Roman" w:hAnsi="Verdana" w:cs="Times New Roman"/>
          <w:b/>
          <w:bCs/>
          <w:color w:val="7030A0"/>
          <w:sz w:val="28"/>
          <w:szCs w:val="28"/>
          <w:shd w:val="clear" w:color="auto" w:fill="FFFFFF"/>
          <w:lang w:eastAsia="fr-FR"/>
        </w:rPr>
        <w:t>« N’oubliez jamais qu’il suffira d’une crise politique, économique ou religieuse pour que les droits des femmes soient remis en question. Ces droits ne sont jamais acquis. Vous devrez rester vigilantes votre vie durant ».</w:t>
      </w:r>
    </w:p>
    <w:p w14:paraId="4AF20348" w14:textId="77777777" w:rsidR="00EB4C2C" w:rsidRPr="00406FCF"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bCs/>
          <w:color w:val="7030A0"/>
          <w:sz w:val="28"/>
          <w:szCs w:val="28"/>
          <w:lang w:eastAsia="fr-FR"/>
        </w:rPr>
      </w:pPr>
      <w:r w:rsidRPr="00406FCF">
        <w:rPr>
          <w:rFonts w:ascii="Verdana" w:eastAsia="Times New Roman" w:hAnsi="Verdana" w:cs="Times New Roman"/>
          <w:b/>
          <w:bCs/>
          <w:color w:val="7030A0"/>
          <w:sz w:val="28"/>
          <w:szCs w:val="28"/>
          <w:shd w:val="clear" w:color="auto" w:fill="FFFFFF"/>
          <w:lang w:eastAsia="fr-FR"/>
        </w:rPr>
        <w:t xml:space="preserve">Simone de Beauvoir, </w:t>
      </w:r>
      <w:r w:rsidRPr="00406FCF">
        <w:rPr>
          <w:rFonts w:ascii="Verdana" w:eastAsia="Times New Roman" w:hAnsi="Verdana" w:cs="Times New Roman"/>
          <w:b/>
          <w:bCs/>
          <w:i/>
          <w:iCs/>
          <w:color w:val="7030A0"/>
          <w:sz w:val="28"/>
          <w:szCs w:val="28"/>
          <w:shd w:val="clear" w:color="auto" w:fill="FFFFFF"/>
          <w:lang w:eastAsia="fr-FR"/>
        </w:rPr>
        <w:t>Le deuxième sexe,</w:t>
      </w:r>
      <w:r w:rsidRPr="00406FCF">
        <w:rPr>
          <w:rFonts w:ascii="Verdana" w:eastAsia="Times New Roman" w:hAnsi="Verdana" w:cs="Times New Roman"/>
          <w:b/>
          <w:bCs/>
          <w:color w:val="7030A0"/>
          <w:sz w:val="28"/>
          <w:szCs w:val="28"/>
          <w:shd w:val="clear" w:color="auto" w:fill="FFFFFF"/>
          <w:lang w:eastAsia="fr-FR"/>
        </w:rPr>
        <w:t xml:space="preserve"> 1949</w:t>
      </w:r>
    </w:p>
    <w:p w14:paraId="4174CFC0" w14:textId="77777777" w:rsidR="00EB4C2C" w:rsidRPr="00394D62" w:rsidRDefault="00EB4C2C" w:rsidP="00EB4C2C">
      <w:pPr>
        <w:pBdr>
          <w:top w:val="single" w:sz="4" w:space="1" w:color="auto"/>
          <w:left w:val="single" w:sz="4" w:space="4" w:color="auto"/>
          <w:bottom w:val="single" w:sz="4" w:space="1" w:color="auto"/>
          <w:right w:val="single" w:sz="4" w:space="4" w:color="auto"/>
        </w:pBdr>
        <w:shd w:val="clear" w:color="auto" w:fill="F9F9F9"/>
        <w:spacing w:after="150" w:line="276" w:lineRule="auto"/>
        <w:jc w:val="both"/>
        <w:rPr>
          <w:rFonts w:ascii="Arial" w:eastAsia="Times New Roman" w:hAnsi="Arial" w:cs="Arial"/>
          <w:color w:val="46494D"/>
          <w:sz w:val="28"/>
          <w:szCs w:val="28"/>
          <w:lang w:eastAsia="fr-FR"/>
        </w:rPr>
      </w:pPr>
      <w:r>
        <w:rPr>
          <w:rFonts w:ascii="Arial" w:eastAsia="Times New Roman" w:hAnsi="Arial" w:cs="Arial"/>
          <w:color w:val="46494D"/>
          <w:sz w:val="28"/>
          <w:szCs w:val="28"/>
          <w:lang w:eastAsia="fr-FR"/>
        </w:rPr>
        <w:t>-----------------------------------------------------------------------------------------------</w:t>
      </w:r>
    </w:p>
    <w:p w14:paraId="3952D67C" w14:textId="77777777" w:rsidR="00EB4C2C" w:rsidRPr="00EB4D95"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lang w:eastAsia="fr-FR"/>
        </w:rPr>
      </w:pPr>
    </w:p>
    <w:p w14:paraId="39FB35CE" w14:textId="77777777" w:rsidR="00EB4C2C" w:rsidRPr="00EB4D95"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Le 22 octobre 2020, le Tribunal constitutionnel polonais a rendu une décision contre le droit des femmes à disposer de leur corps. Les juges ont déclaré inconstitutionnelle la disposition de la loi de 1993 permettant l’accès à l’avortement en cas de malformation ou de maladie grave du fœtus. Le droit à l’avortement en Pologne se limite donc désormais aux seuls cas où la vie de la femme enceinte est en danger, ou lorsque la grossesse est issue d’un viol ou d’un inceste. Dans la mesure où la quasi-totalité des interruptions de grossesse était pratiquée en cas de maladie particulièrement grave ou incurable du fœtus, une telle décision a pour conséquence d'interdire, de fait, l’avortement en Pologne. </w:t>
      </w:r>
    </w:p>
    <w:p w14:paraId="754BE2BE" w14:textId="77777777" w:rsidR="00EB4C2C" w:rsidRPr="00EB4D95"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 xml:space="preserve">La Pologne  disposait d’une large marge de manœuvre pour porter une telle atteinte à la liberté des femmes à disposer de leur corps : en effet, </w:t>
      </w:r>
      <w:r w:rsidRPr="00EB4D95">
        <w:rPr>
          <w:rFonts w:ascii="Arial" w:hAnsi="Arial" w:cs="Arial"/>
          <w:sz w:val="28"/>
          <w:szCs w:val="28"/>
          <w:lang w:eastAsia="fr-FR"/>
        </w:rPr>
        <w:lastRenderedPageBreak/>
        <w:t xml:space="preserve">une telle législation n’est pas contraire à la Convention européenne de sauvegarde des droits de l’Homme :  le juge européen refuse de consacrer un droit à l’avortement, laissant sur cette question une marge d'appréciation aux </w:t>
      </w:r>
      <w:proofErr w:type="spellStart"/>
      <w:r w:rsidRPr="00EB4D95">
        <w:rPr>
          <w:rFonts w:ascii="Arial" w:hAnsi="Arial" w:cs="Arial"/>
          <w:sz w:val="28"/>
          <w:szCs w:val="28"/>
          <w:lang w:eastAsia="fr-FR"/>
        </w:rPr>
        <w:t>Etats</w:t>
      </w:r>
      <w:proofErr w:type="spellEnd"/>
      <w:r w:rsidRPr="00EB4D95">
        <w:rPr>
          <w:rFonts w:ascii="Arial" w:hAnsi="Arial" w:cs="Arial"/>
          <w:sz w:val="28"/>
          <w:szCs w:val="28"/>
          <w:lang w:eastAsia="fr-FR"/>
        </w:rPr>
        <w:t xml:space="preserve"> prenant en compte leurs convictions philosophiques et religieuses, au nom « </w:t>
      </w:r>
      <w:r w:rsidRPr="00EB4D95">
        <w:rPr>
          <w:rFonts w:ascii="Arial" w:hAnsi="Arial" w:cs="Arial"/>
          <w:i/>
          <w:iCs/>
          <w:sz w:val="28"/>
          <w:szCs w:val="28"/>
          <w:lang w:eastAsia="fr-FR"/>
        </w:rPr>
        <w:t>de l’extrême sensibilité des questions morales et éthiques soulevées par la question de l’avortement</w:t>
      </w:r>
      <w:r w:rsidRPr="00EB4D95">
        <w:rPr>
          <w:rFonts w:ascii="Arial" w:hAnsi="Arial" w:cs="Arial"/>
          <w:sz w:val="28"/>
          <w:szCs w:val="28"/>
          <w:lang w:eastAsia="fr-FR"/>
        </w:rPr>
        <w:t xml:space="preserve"> » (20 CEDH, 16 décembre 2010, A, B et C </w:t>
      </w:r>
      <w:proofErr w:type="spellStart"/>
      <w:r w:rsidRPr="00EB4D95">
        <w:rPr>
          <w:rFonts w:ascii="Arial" w:hAnsi="Arial" w:cs="Arial"/>
          <w:sz w:val="28"/>
          <w:szCs w:val="28"/>
          <w:lang w:eastAsia="fr-FR"/>
        </w:rPr>
        <w:t>c</w:t>
      </w:r>
      <w:proofErr w:type="spellEnd"/>
      <w:r w:rsidRPr="00EB4D95">
        <w:rPr>
          <w:rFonts w:ascii="Arial" w:hAnsi="Arial" w:cs="Arial"/>
          <w:sz w:val="28"/>
          <w:szCs w:val="28"/>
          <w:lang w:eastAsia="fr-FR"/>
        </w:rPr>
        <w:t>. Irlande, n° 25579/05, §233)</w:t>
      </w:r>
    </w:p>
    <w:p w14:paraId="7B469B17" w14:textId="77777777" w:rsidR="00EB4C2C" w:rsidRPr="00EB4D95"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 xml:space="preserve">La Cour européenne des droits de l’Homme s'est en effet toujours montrée très méfiante sur l’existence d’un droit à l’avortement au sein de la Convention. Certes, en 2002,   ( CEDH, 5 septembre 2002, </w:t>
      </w:r>
      <w:proofErr w:type="spellStart"/>
      <w:r w:rsidRPr="00EB4D95">
        <w:rPr>
          <w:rFonts w:ascii="Arial" w:hAnsi="Arial" w:cs="Arial"/>
          <w:sz w:val="28"/>
          <w:szCs w:val="28"/>
          <w:lang w:eastAsia="fr-FR"/>
        </w:rPr>
        <w:t>Boso</w:t>
      </w:r>
      <w:proofErr w:type="spellEnd"/>
      <w:r w:rsidRPr="00EB4D95">
        <w:rPr>
          <w:rFonts w:ascii="Arial" w:hAnsi="Arial" w:cs="Arial"/>
          <w:sz w:val="28"/>
          <w:szCs w:val="28"/>
          <w:lang w:eastAsia="fr-FR"/>
        </w:rPr>
        <w:t xml:space="preserve"> c. Italie, n° 50490/99 ) elle avait  affirmé que l’avortement devait « </w:t>
      </w:r>
      <w:r w:rsidRPr="00EB4D95">
        <w:rPr>
          <w:rFonts w:ascii="Arial" w:hAnsi="Arial" w:cs="Arial"/>
          <w:i/>
          <w:iCs/>
          <w:sz w:val="28"/>
          <w:szCs w:val="28"/>
          <w:lang w:eastAsia="fr-FR"/>
        </w:rPr>
        <w:t>avant tout tenir compte des droits de la mère, puisque c’est elle qui est essentiellement concernée par la grossesse, sa poursuite ou son interruption</w:t>
      </w:r>
      <w:r w:rsidRPr="00EB4D95">
        <w:rPr>
          <w:rFonts w:ascii="Arial" w:hAnsi="Arial" w:cs="Arial"/>
          <w:sz w:val="28"/>
          <w:szCs w:val="28"/>
          <w:lang w:eastAsia="fr-FR"/>
        </w:rPr>
        <w:t> », mais en 2010 , dans son</w:t>
      </w:r>
      <w:hyperlink r:id="rId11" w:tgtFrame="_blank" w:history="1">
        <w:r w:rsidRPr="00EB4D95">
          <w:rPr>
            <w:rFonts w:ascii="Arial" w:hAnsi="Arial" w:cs="Arial"/>
            <w:color w:val="158CBA"/>
            <w:sz w:val="28"/>
            <w:szCs w:val="28"/>
            <w:lang w:eastAsia="fr-FR"/>
          </w:rPr>
          <w:t> </w:t>
        </w:r>
        <w:r w:rsidRPr="00EB4D95">
          <w:rPr>
            <w:rFonts w:ascii="Arial" w:hAnsi="Arial" w:cs="Arial"/>
            <w:color w:val="158CBA"/>
            <w:sz w:val="28"/>
            <w:szCs w:val="28"/>
            <w:u w:val="single"/>
            <w:lang w:eastAsia="fr-FR"/>
          </w:rPr>
          <w:t>arrêt </w:t>
        </w:r>
        <w:r w:rsidRPr="00EB4D95">
          <w:rPr>
            <w:rFonts w:ascii="Arial" w:hAnsi="Arial" w:cs="Arial"/>
            <w:i/>
            <w:iCs/>
            <w:color w:val="158CBA"/>
            <w:sz w:val="28"/>
            <w:szCs w:val="28"/>
            <w:lang w:eastAsia="fr-FR"/>
          </w:rPr>
          <w:t>A.B.C c. Irlande</w:t>
        </w:r>
      </w:hyperlink>
      <w:r w:rsidRPr="00EB4D95">
        <w:rPr>
          <w:rFonts w:ascii="Arial" w:hAnsi="Arial" w:cs="Arial"/>
          <w:sz w:val="28"/>
          <w:szCs w:val="28"/>
          <w:lang w:eastAsia="fr-FR"/>
        </w:rPr>
        <w:t> de 2010, elle a clairement affirmé que le droit au respect à la vie privée et familiale ne saurait « </w:t>
      </w:r>
      <w:r w:rsidRPr="00EB4D95">
        <w:rPr>
          <w:rFonts w:ascii="Arial" w:hAnsi="Arial" w:cs="Arial"/>
          <w:i/>
          <w:iCs/>
          <w:sz w:val="28"/>
          <w:szCs w:val="28"/>
          <w:lang w:eastAsia="fr-FR"/>
        </w:rPr>
        <w:t>s’interpréter comme</w:t>
      </w:r>
      <w:r w:rsidRPr="00EB4D95">
        <w:rPr>
          <w:rFonts w:ascii="Arial" w:hAnsi="Arial" w:cs="Arial"/>
          <w:sz w:val="28"/>
          <w:szCs w:val="28"/>
          <w:lang w:eastAsia="fr-FR"/>
        </w:rPr>
        <w:t> </w:t>
      </w:r>
      <w:r w:rsidRPr="00EB4D95">
        <w:rPr>
          <w:rFonts w:ascii="Arial" w:hAnsi="Arial" w:cs="Arial"/>
          <w:i/>
          <w:iCs/>
          <w:sz w:val="28"/>
          <w:szCs w:val="28"/>
          <w:lang w:eastAsia="fr-FR"/>
        </w:rPr>
        <w:t>consacrant un droit à l’avortement</w:t>
      </w:r>
      <w:r w:rsidRPr="00EB4D95">
        <w:rPr>
          <w:rFonts w:ascii="Arial" w:hAnsi="Arial" w:cs="Arial"/>
          <w:sz w:val="28"/>
          <w:szCs w:val="28"/>
          <w:lang w:eastAsia="fr-FR"/>
        </w:rPr>
        <w:t xml:space="preserve"> ». Les droits de la femme enceinte, et ceux du fœtus in utero sont placés sur le même </w:t>
      </w:r>
      <w:proofErr w:type="gramStart"/>
      <w:r w:rsidRPr="00EB4D95">
        <w:rPr>
          <w:rFonts w:ascii="Arial" w:hAnsi="Arial" w:cs="Arial"/>
          <w:sz w:val="28"/>
          <w:szCs w:val="28"/>
          <w:lang w:eastAsia="fr-FR"/>
        </w:rPr>
        <w:t>plan ,</w:t>
      </w:r>
      <w:proofErr w:type="gramEnd"/>
      <w:r w:rsidRPr="00EB4D95">
        <w:rPr>
          <w:rFonts w:ascii="Arial" w:hAnsi="Arial" w:cs="Arial"/>
          <w:sz w:val="28"/>
          <w:szCs w:val="28"/>
          <w:lang w:eastAsia="fr-FR"/>
        </w:rPr>
        <w:t xml:space="preserve"> ils sont « </w:t>
      </w:r>
      <w:r w:rsidRPr="00EB4D95">
        <w:rPr>
          <w:rFonts w:ascii="Arial" w:hAnsi="Arial" w:cs="Arial"/>
          <w:i/>
          <w:iCs/>
          <w:sz w:val="28"/>
          <w:szCs w:val="28"/>
          <w:lang w:eastAsia="fr-FR"/>
        </w:rPr>
        <w:t>inextricablement liés</w:t>
      </w:r>
      <w:r w:rsidRPr="00EB4D95">
        <w:rPr>
          <w:rFonts w:ascii="Arial" w:hAnsi="Arial" w:cs="Arial"/>
          <w:sz w:val="28"/>
          <w:szCs w:val="28"/>
          <w:lang w:eastAsia="fr-FR"/>
        </w:rPr>
        <w:t xml:space="preserve"> » (CEDH, 16 décembre 2010, A, B et C </w:t>
      </w:r>
      <w:proofErr w:type="spellStart"/>
      <w:r w:rsidRPr="00EB4D95">
        <w:rPr>
          <w:rFonts w:ascii="Arial" w:hAnsi="Arial" w:cs="Arial"/>
          <w:sz w:val="28"/>
          <w:szCs w:val="28"/>
          <w:lang w:eastAsia="fr-FR"/>
        </w:rPr>
        <w:t>c</w:t>
      </w:r>
      <w:proofErr w:type="spellEnd"/>
      <w:r w:rsidRPr="00EB4D95">
        <w:rPr>
          <w:rFonts w:ascii="Arial" w:hAnsi="Arial" w:cs="Arial"/>
          <w:sz w:val="28"/>
          <w:szCs w:val="28"/>
          <w:lang w:eastAsia="fr-FR"/>
        </w:rPr>
        <w:t>. Irlande, n° 25579/05, §237. </w:t>
      </w:r>
    </w:p>
    <w:p w14:paraId="5EB8BC29" w14:textId="77777777" w:rsidR="00EB4C2C" w:rsidRPr="00EB4D95"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 xml:space="preserve">La Cour ne consacre donc pas de droit à l’avortement, elle se contente d'imposer aux États parties de garantir un recours effectif à une interruption de grossesse lorsque leur législation l’autorise. Pour </w:t>
      </w:r>
      <w:proofErr w:type="spellStart"/>
      <w:proofErr w:type="gramStart"/>
      <w:r w:rsidRPr="00EB4D95">
        <w:rPr>
          <w:rFonts w:ascii="Arial" w:hAnsi="Arial" w:cs="Arial"/>
          <w:sz w:val="28"/>
          <w:szCs w:val="28"/>
          <w:lang w:eastAsia="fr-FR"/>
        </w:rPr>
        <w:t>non respect</w:t>
      </w:r>
      <w:proofErr w:type="spellEnd"/>
      <w:proofErr w:type="gramEnd"/>
      <w:r w:rsidRPr="00EB4D95">
        <w:rPr>
          <w:rFonts w:ascii="Arial" w:hAnsi="Arial" w:cs="Arial"/>
          <w:sz w:val="28"/>
          <w:szCs w:val="28"/>
          <w:lang w:eastAsia="fr-FR"/>
        </w:rPr>
        <w:t xml:space="preserve"> de ce principe, la Pologne a été condamnée à plusieurs reprises par la Cour, sur chacun des trois motifs autorisant le recours à l’interruption de grossesse selon la législation interne. Dans l’affaire </w:t>
      </w:r>
      <w:proofErr w:type="spellStart"/>
      <w:r w:rsidRPr="00EB4D95">
        <w:rPr>
          <w:rFonts w:ascii="Arial" w:hAnsi="Arial" w:cs="Arial"/>
          <w:sz w:val="28"/>
          <w:szCs w:val="28"/>
          <w:lang w:eastAsia="fr-FR"/>
        </w:rPr>
        <w:fldChar w:fldCharType="begin"/>
      </w:r>
      <w:r w:rsidRPr="00EB4D95">
        <w:rPr>
          <w:rFonts w:ascii="Arial" w:hAnsi="Arial" w:cs="Arial"/>
          <w:sz w:val="28"/>
          <w:szCs w:val="28"/>
          <w:lang w:eastAsia="fr-FR"/>
        </w:rPr>
        <w:instrText xml:space="preserve"> HYPERLINK "http://hudoc.echr.coe.int/fre?i=001-79813" \t "_blank" </w:instrText>
      </w:r>
      <w:r w:rsidRPr="00EB4D95">
        <w:rPr>
          <w:rFonts w:ascii="Arial" w:hAnsi="Arial" w:cs="Arial"/>
          <w:sz w:val="28"/>
          <w:szCs w:val="28"/>
          <w:lang w:eastAsia="fr-FR"/>
        </w:rPr>
        <w:fldChar w:fldCharType="separate"/>
      </w:r>
      <w:r w:rsidRPr="00EB4D95">
        <w:rPr>
          <w:rFonts w:ascii="Arial" w:hAnsi="Arial" w:cs="Arial"/>
          <w:i/>
          <w:iCs/>
          <w:color w:val="158CBA"/>
          <w:sz w:val="28"/>
          <w:szCs w:val="28"/>
          <w:lang w:eastAsia="fr-FR"/>
        </w:rPr>
        <w:t>Tysiąc</w:t>
      </w:r>
      <w:proofErr w:type="spellEnd"/>
      <w:r w:rsidRPr="00EB4D95">
        <w:rPr>
          <w:rFonts w:ascii="Arial" w:hAnsi="Arial" w:cs="Arial"/>
          <w:i/>
          <w:iCs/>
          <w:color w:val="158CBA"/>
          <w:sz w:val="28"/>
          <w:szCs w:val="28"/>
          <w:lang w:eastAsia="fr-FR"/>
        </w:rPr>
        <w:t xml:space="preserve"> c. Pologne</w:t>
      </w:r>
      <w:r w:rsidRPr="00EB4D95">
        <w:rPr>
          <w:rFonts w:ascii="Arial" w:hAnsi="Arial" w:cs="Arial"/>
          <w:color w:val="158CBA"/>
          <w:sz w:val="28"/>
          <w:szCs w:val="28"/>
          <w:u w:val="single"/>
          <w:lang w:eastAsia="fr-FR"/>
        </w:rPr>
        <w:t> </w:t>
      </w:r>
      <w:r w:rsidRPr="00EB4D95">
        <w:rPr>
          <w:rFonts w:ascii="Arial" w:hAnsi="Arial" w:cs="Arial"/>
          <w:sz w:val="28"/>
          <w:szCs w:val="28"/>
          <w:lang w:eastAsia="fr-FR"/>
        </w:rPr>
        <w:fldChar w:fldCharType="end"/>
      </w:r>
      <w:r w:rsidRPr="00EB4D95">
        <w:rPr>
          <w:rFonts w:ascii="Arial" w:hAnsi="Arial" w:cs="Arial"/>
          <w:sz w:val="28"/>
          <w:szCs w:val="28"/>
          <w:lang w:eastAsia="fr-FR"/>
        </w:rPr>
        <w:t xml:space="preserve">de 2007 une femme dont la grossesse risquait d’aggraver sa déficience visuelle avait rencontré des difficultés à exercer son droit à l’avortement, -prévu en droit polonais en cas de menace pour la santé de la femme enceinte- la Cour </w:t>
      </w:r>
      <w:proofErr w:type="gramStart"/>
      <w:r w:rsidRPr="00EB4D95">
        <w:rPr>
          <w:rFonts w:ascii="Arial" w:hAnsi="Arial" w:cs="Arial"/>
          <w:sz w:val="28"/>
          <w:szCs w:val="28"/>
          <w:lang w:eastAsia="fr-FR"/>
        </w:rPr>
        <w:t>avait  vérifié</w:t>
      </w:r>
      <w:proofErr w:type="gramEnd"/>
      <w:r w:rsidRPr="00EB4D95">
        <w:rPr>
          <w:rFonts w:ascii="Arial" w:hAnsi="Arial" w:cs="Arial"/>
          <w:sz w:val="28"/>
          <w:szCs w:val="28"/>
          <w:lang w:eastAsia="fr-FR"/>
        </w:rPr>
        <w:t xml:space="preserve"> les garanties de procédure prévues par le droit polonais afin de conclure à la violation de l’article 8. En 2011, nouvelle condamnation de la Pologne pour ne pas avoir mis en place une procédure fiable permettant d’accéder à l’avortement en cas de malformation du fœtus - prévue dans ce cas par le législateur (CEDH, 26 mai 2011, </w:t>
      </w:r>
      <w:hyperlink r:id="rId12" w:tgtFrame="_blank" w:history="1">
        <w:r w:rsidRPr="00EB4D95">
          <w:rPr>
            <w:rFonts w:ascii="Arial" w:hAnsi="Arial" w:cs="Arial"/>
            <w:color w:val="158CBA"/>
            <w:sz w:val="28"/>
            <w:szCs w:val="28"/>
            <w:u w:val="single"/>
            <w:lang w:eastAsia="fr-FR"/>
          </w:rPr>
          <w:t>R.R c. Pologne</w:t>
        </w:r>
      </w:hyperlink>
      <w:r w:rsidRPr="00EB4D95">
        <w:rPr>
          <w:rFonts w:ascii="Arial" w:hAnsi="Arial" w:cs="Arial"/>
          <w:sz w:val="28"/>
          <w:szCs w:val="28"/>
          <w:lang w:eastAsia="fr-FR"/>
        </w:rPr>
        <w:t>, n° 27617/04). LA cour avait noté une « </w:t>
      </w:r>
      <w:r w:rsidRPr="00EB4D95">
        <w:rPr>
          <w:rFonts w:ascii="Arial" w:hAnsi="Arial" w:cs="Arial"/>
          <w:i/>
          <w:iCs/>
          <w:sz w:val="28"/>
          <w:szCs w:val="28"/>
          <w:lang w:eastAsia="fr-FR"/>
        </w:rPr>
        <w:t>discordance frappante entre le droit à l’avortement théoriquement reconnu en Pologne</w:t>
      </w:r>
      <w:r w:rsidRPr="00EB4D95">
        <w:rPr>
          <w:rFonts w:ascii="Arial" w:hAnsi="Arial" w:cs="Arial"/>
          <w:sz w:val="28"/>
          <w:szCs w:val="28"/>
          <w:lang w:eastAsia="fr-FR"/>
        </w:rPr>
        <w:t> » et « </w:t>
      </w:r>
      <w:r w:rsidRPr="00EB4D95">
        <w:rPr>
          <w:rFonts w:ascii="Arial" w:hAnsi="Arial" w:cs="Arial"/>
          <w:i/>
          <w:iCs/>
          <w:sz w:val="28"/>
          <w:szCs w:val="28"/>
          <w:lang w:eastAsia="fr-FR"/>
        </w:rPr>
        <w:t>la réalité de son application concrète </w:t>
      </w:r>
      <w:proofErr w:type="gramStart"/>
      <w:r w:rsidRPr="00EB4D95">
        <w:rPr>
          <w:rFonts w:ascii="Arial" w:hAnsi="Arial" w:cs="Arial"/>
          <w:sz w:val="28"/>
          <w:szCs w:val="28"/>
          <w:lang w:eastAsia="fr-FR"/>
        </w:rPr>
        <w:t>»  qui</w:t>
      </w:r>
      <w:proofErr w:type="gramEnd"/>
      <w:r w:rsidRPr="00EB4D95">
        <w:rPr>
          <w:rFonts w:ascii="Arial" w:hAnsi="Arial" w:cs="Arial"/>
          <w:sz w:val="28"/>
          <w:szCs w:val="28"/>
          <w:lang w:eastAsia="fr-FR"/>
        </w:rPr>
        <w:t xml:space="preserve"> avait fait obstacle à l’exercice au droit à l’autonomie </w:t>
      </w:r>
      <w:r w:rsidRPr="00EB4D95">
        <w:rPr>
          <w:rFonts w:ascii="Arial" w:hAnsi="Arial" w:cs="Arial"/>
          <w:sz w:val="28"/>
          <w:szCs w:val="28"/>
          <w:lang w:eastAsia="fr-FR"/>
        </w:rPr>
        <w:lastRenderedPageBreak/>
        <w:t>personnelle de la femme enceinte. Enfin, dans son arrêt </w:t>
      </w:r>
      <w:hyperlink r:id="rId13" w:tgtFrame="_blank" w:history="1">
        <w:r w:rsidRPr="00EB4D95">
          <w:rPr>
            <w:rFonts w:ascii="Arial" w:hAnsi="Arial" w:cs="Arial"/>
            <w:i/>
            <w:iCs/>
            <w:color w:val="158CBA"/>
            <w:sz w:val="28"/>
            <w:szCs w:val="28"/>
            <w:lang w:eastAsia="fr-FR"/>
          </w:rPr>
          <w:t>P. et S. c. Pologne</w:t>
        </w:r>
      </w:hyperlink>
      <w:r w:rsidRPr="00EB4D95">
        <w:rPr>
          <w:rFonts w:ascii="Arial" w:hAnsi="Arial" w:cs="Arial"/>
          <w:sz w:val="28"/>
          <w:szCs w:val="28"/>
          <w:lang w:eastAsia="fr-FR"/>
        </w:rPr>
        <w:t>, la Cour avait condamné la Pologne pour l’impossibilité pratique pour une requérante enceinte à la suite d’un viol d’accéder sans entrave à l’avortement, prévu dans ce cas par le droit polonais.</w:t>
      </w:r>
    </w:p>
    <w:p w14:paraId="70176601" w14:textId="77777777" w:rsidR="00EB4C2C" w:rsidRPr="00EB4D95"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Des attaques répétées et de plus en plus inquiétantes sont menées à l’encontre du droit à l’avortement en Europe :  le Commissaire aux droits de l’Homme a relevé des difficultés d'accès au droit à l'avortement en Slovaquie, en Lituanie ou encore en Hongrie (Commissaire aux droits de l’Homme, Santé et droits sexuels et reproductifs des femmes en Europe, </w:t>
      </w:r>
      <w:hyperlink r:id="rId14" w:history="1">
        <w:r w:rsidRPr="00EB4D95">
          <w:rPr>
            <w:rFonts w:ascii="Arial" w:hAnsi="Arial" w:cs="Arial"/>
            <w:color w:val="158CBA"/>
            <w:sz w:val="28"/>
            <w:szCs w:val="28"/>
            <w:u w:val="single"/>
            <w:lang w:eastAsia="fr-FR"/>
          </w:rPr>
          <w:t>Document thématique</w:t>
        </w:r>
      </w:hyperlink>
      <w:r w:rsidRPr="00EB4D95">
        <w:rPr>
          <w:rFonts w:ascii="Arial" w:hAnsi="Arial" w:cs="Arial"/>
          <w:sz w:val="28"/>
          <w:szCs w:val="28"/>
          <w:lang w:eastAsia="fr-FR"/>
        </w:rPr>
        <w:t>, décembre 2017).</w:t>
      </w:r>
    </w:p>
    <w:p w14:paraId="4CB130E5"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Un autre aspect du droit européen est en jeu : les difficultés du droit de l’Union européenne à contraindre la Pologne à respecter le principe fondamental de l’indépendance de la justice ont également conduit à cet affront majeur à l’encontre du droit à l’avortement. </w:t>
      </w:r>
    </w:p>
    <w:p w14:paraId="44AD96D6"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p>
    <w:p w14:paraId="52805AD2"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EB4D95">
        <w:rPr>
          <w:rFonts w:ascii="Arial" w:hAnsi="Arial" w:cs="Arial"/>
          <w:sz w:val="28"/>
          <w:szCs w:val="28"/>
          <w:lang w:eastAsia="fr-FR"/>
        </w:rPr>
        <w:t xml:space="preserve">Certes, la Cour EDH a décidé en juillet 2021 d'examiner des requêtes contre l'extinction en Pologne du droit à l'avortement en cas d'anomalies du </w:t>
      </w:r>
      <w:proofErr w:type="spellStart"/>
      <w:r w:rsidRPr="00EB4D95">
        <w:rPr>
          <w:rFonts w:ascii="Arial" w:hAnsi="Arial" w:cs="Arial"/>
          <w:sz w:val="28"/>
          <w:szCs w:val="28"/>
          <w:lang w:eastAsia="fr-FR"/>
        </w:rPr>
        <w:t>foetus</w:t>
      </w:r>
      <w:proofErr w:type="spellEnd"/>
      <w:r w:rsidRPr="00EB4D95">
        <w:rPr>
          <w:rFonts w:ascii="Arial" w:hAnsi="Arial" w:cs="Arial"/>
          <w:sz w:val="28"/>
          <w:szCs w:val="28"/>
          <w:lang w:eastAsia="fr-FR"/>
        </w:rPr>
        <w:t>. Cette affaire peut permettre à la Cour de se prononcer (à nouveau) sur la protection européenne du droit à l'avortement .... Mais la violation pourrait résulter de la seule composition irrégulière de la Cour constitutionnelle polonaise, qui a déjà été constatée ...</w:t>
      </w:r>
    </w:p>
    <w:p w14:paraId="21290448"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p>
    <w:p w14:paraId="3D95F767" w14:textId="77777777" w:rsidR="00EB4C2C" w:rsidRDefault="00EB4C2C" w:rsidP="00EB4C2C">
      <w:pPr>
        <w:spacing w:line="276" w:lineRule="auto"/>
        <w:rPr>
          <w:lang w:eastAsia="fr-FR"/>
        </w:rPr>
      </w:pPr>
    </w:p>
    <w:p w14:paraId="3D40FB91" w14:textId="77777777" w:rsidR="00EB4C2C" w:rsidRDefault="00EB4C2C" w:rsidP="00EB4C2C">
      <w:pPr>
        <w:spacing w:line="276" w:lineRule="auto"/>
        <w:rPr>
          <w:lang w:eastAsia="fr-FR"/>
        </w:rPr>
      </w:pPr>
    </w:p>
    <w:p w14:paraId="00FFB8A8"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r w:rsidRPr="00767913">
        <w:rPr>
          <w:rFonts w:ascii="Arial" w:hAnsi="Arial" w:cs="Arial"/>
          <w:color w:val="4472C4" w:themeColor="accent1"/>
          <w:sz w:val="28"/>
          <w:szCs w:val="28"/>
          <w:lang w:eastAsia="fr-FR"/>
        </w:rPr>
        <w:t>Questions :</w:t>
      </w:r>
    </w:p>
    <w:p w14:paraId="6D5BA360"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p>
    <w:p w14:paraId="6F97895E"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r w:rsidRPr="00767913">
        <w:rPr>
          <w:rFonts w:ascii="Arial" w:hAnsi="Arial" w:cs="Arial"/>
          <w:color w:val="4472C4" w:themeColor="accent1"/>
          <w:sz w:val="28"/>
          <w:szCs w:val="28"/>
          <w:lang w:eastAsia="fr-FR"/>
        </w:rPr>
        <w:t xml:space="preserve">1. </w:t>
      </w:r>
      <w:proofErr w:type="gramStart"/>
      <w:r w:rsidRPr="00767913">
        <w:rPr>
          <w:rFonts w:ascii="Arial" w:hAnsi="Arial" w:cs="Arial"/>
          <w:color w:val="4472C4" w:themeColor="accent1"/>
          <w:sz w:val="28"/>
          <w:szCs w:val="28"/>
          <w:lang w:eastAsia="fr-FR"/>
        </w:rPr>
        <w:t>Faire</w:t>
      </w:r>
      <w:proofErr w:type="gramEnd"/>
      <w:r w:rsidRPr="00767913">
        <w:rPr>
          <w:rFonts w:ascii="Arial" w:hAnsi="Arial" w:cs="Arial"/>
          <w:color w:val="4472C4" w:themeColor="accent1"/>
          <w:sz w:val="28"/>
          <w:szCs w:val="28"/>
          <w:lang w:eastAsia="fr-FR"/>
        </w:rPr>
        <w:t xml:space="preserve"> des Recherches : quelle est le rôle du Tribunal constitutionnel polonais ?</w:t>
      </w:r>
    </w:p>
    <w:p w14:paraId="237DCB51"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p>
    <w:p w14:paraId="2BEDB91F"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r w:rsidRPr="00767913">
        <w:rPr>
          <w:rFonts w:ascii="Arial" w:hAnsi="Arial" w:cs="Arial"/>
          <w:color w:val="4472C4" w:themeColor="accent1"/>
          <w:sz w:val="28"/>
          <w:szCs w:val="28"/>
          <w:lang w:eastAsia="fr-FR"/>
        </w:rPr>
        <w:t xml:space="preserve">2. Quelle décision </w:t>
      </w:r>
      <w:proofErr w:type="spellStart"/>
      <w:r w:rsidRPr="00767913">
        <w:rPr>
          <w:rFonts w:ascii="Arial" w:hAnsi="Arial" w:cs="Arial"/>
          <w:color w:val="4472C4" w:themeColor="accent1"/>
          <w:sz w:val="28"/>
          <w:szCs w:val="28"/>
          <w:lang w:eastAsia="fr-FR"/>
        </w:rPr>
        <w:t>a-t-il</w:t>
      </w:r>
      <w:proofErr w:type="spellEnd"/>
      <w:r w:rsidRPr="00767913">
        <w:rPr>
          <w:rFonts w:ascii="Arial" w:hAnsi="Arial" w:cs="Arial"/>
          <w:color w:val="4472C4" w:themeColor="accent1"/>
          <w:sz w:val="28"/>
          <w:szCs w:val="28"/>
          <w:lang w:eastAsia="fr-FR"/>
        </w:rPr>
        <w:t xml:space="preserve"> prise le 22 octobre 2020 ?</w:t>
      </w:r>
    </w:p>
    <w:p w14:paraId="59E393CE"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p>
    <w:p w14:paraId="0AAA32DC"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r w:rsidRPr="00767913">
        <w:rPr>
          <w:rFonts w:ascii="Arial" w:hAnsi="Arial" w:cs="Arial"/>
          <w:color w:val="4472C4" w:themeColor="accent1"/>
          <w:sz w:val="28"/>
          <w:szCs w:val="28"/>
          <w:lang w:eastAsia="fr-FR"/>
        </w:rPr>
        <w:t>3. Pourquoi la Pologne ne craignait-elle pas une condamnation de la Cour EDH ?</w:t>
      </w:r>
    </w:p>
    <w:p w14:paraId="3E6DE06A"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lang w:eastAsia="fr-FR"/>
        </w:rPr>
      </w:pPr>
    </w:p>
    <w:p w14:paraId="184708B8"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sz w:val="28"/>
          <w:szCs w:val="28"/>
          <w:lang w:eastAsia="fr-FR"/>
        </w:rPr>
      </w:pPr>
      <w:r w:rsidRPr="00767913">
        <w:rPr>
          <w:rFonts w:ascii="Arial" w:hAnsi="Arial" w:cs="Arial"/>
          <w:color w:val="4472C4" w:themeColor="accent1"/>
          <w:sz w:val="28"/>
          <w:szCs w:val="28"/>
          <w:lang w:eastAsia="fr-FR"/>
        </w:rPr>
        <w:t>4. Pour quelles raisons et quels manquements la Pologne a-t-elle été condamnée par la Cour EDH ? Appuyez-vous sur des arrêts (cliquez sur les liens pout y accéder).</w:t>
      </w:r>
    </w:p>
    <w:p w14:paraId="782635E2"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sz w:val="28"/>
          <w:szCs w:val="28"/>
          <w:lang w:eastAsia="fr-FR"/>
        </w:rPr>
      </w:pPr>
    </w:p>
    <w:p w14:paraId="6CEE2466"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sz w:val="28"/>
          <w:szCs w:val="28"/>
          <w:lang w:eastAsia="fr-FR"/>
        </w:rPr>
      </w:pPr>
      <w:r w:rsidRPr="00767913">
        <w:rPr>
          <w:rFonts w:ascii="Arial" w:hAnsi="Arial" w:cs="Arial"/>
          <w:color w:val="4472C4" w:themeColor="accent1"/>
          <w:sz w:val="28"/>
          <w:szCs w:val="28"/>
          <w:lang w:eastAsia="fr-FR"/>
        </w:rPr>
        <w:t>5. La Cour EDH a-t-elle décidé d’examiner des requêtes liées à l'extinction en Pologne du droit à l'avortement en cas d'anomalies du fœtus ? Cela signifie-t-il qu’elle va consacrer un droit à l’avortement ? Pour quel autre motif pourrait-elle condamner la Pologne ?</w:t>
      </w:r>
    </w:p>
    <w:p w14:paraId="06F73C4B" w14:textId="77777777" w:rsidR="00EB4C2C" w:rsidRPr="00767913"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sz w:val="28"/>
          <w:szCs w:val="28"/>
          <w:lang w:eastAsia="fr-FR"/>
        </w:rPr>
      </w:pPr>
    </w:p>
    <w:p w14:paraId="55D0B7A0" w14:textId="77777777" w:rsidR="00EB4C2C" w:rsidRDefault="00EB4C2C" w:rsidP="00EB4C2C">
      <w:pPr>
        <w:spacing w:line="276" w:lineRule="auto"/>
        <w:rPr>
          <w:rFonts w:ascii="Arial" w:hAnsi="Arial" w:cs="Arial"/>
          <w:sz w:val="28"/>
          <w:szCs w:val="28"/>
          <w:lang w:eastAsia="fr-FR"/>
        </w:rPr>
      </w:pPr>
    </w:p>
    <w:p w14:paraId="43215FAC" w14:textId="77777777" w:rsidR="00EB4C2C" w:rsidRPr="006877B7" w:rsidRDefault="00EB4C2C" w:rsidP="00EB4C2C">
      <w:pPr>
        <w:spacing w:line="276" w:lineRule="auto"/>
        <w:jc w:val="both"/>
        <w:rPr>
          <w:rFonts w:ascii="Arial" w:hAnsi="Arial" w:cs="Arial"/>
          <w:sz w:val="36"/>
          <w:szCs w:val="36"/>
          <w:highlight w:val="yellow"/>
          <w:lang w:eastAsia="fr-FR"/>
        </w:rPr>
      </w:pPr>
    </w:p>
    <w:p w14:paraId="72602E8F" w14:textId="77777777" w:rsidR="00EB4C2C" w:rsidRDefault="00EB4C2C" w:rsidP="00EB4C2C">
      <w:pPr>
        <w:spacing w:line="276" w:lineRule="auto"/>
        <w:jc w:val="both"/>
        <w:rPr>
          <w:rFonts w:ascii="Arial" w:hAnsi="Arial" w:cs="Arial"/>
          <w:sz w:val="36"/>
          <w:szCs w:val="36"/>
          <w:lang w:eastAsia="fr-FR"/>
        </w:rPr>
      </w:pPr>
      <w:r w:rsidRPr="006877B7">
        <w:rPr>
          <w:rFonts w:ascii="Arial" w:hAnsi="Arial" w:cs="Arial"/>
          <w:sz w:val="36"/>
          <w:szCs w:val="36"/>
          <w:highlight w:val="yellow"/>
          <w:lang w:eastAsia="fr-FR"/>
        </w:rPr>
        <w:t>Pour aller plus loin</w:t>
      </w:r>
      <w:r w:rsidRPr="006877B7">
        <w:rPr>
          <w:rFonts w:ascii="Arial" w:hAnsi="Arial" w:cs="Arial"/>
          <w:sz w:val="36"/>
          <w:szCs w:val="36"/>
          <w:lang w:eastAsia="fr-FR"/>
        </w:rPr>
        <w:t xml:space="preserve"> </w:t>
      </w:r>
    </w:p>
    <w:p w14:paraId="6EE7256C" w14:textId="77777777" w:rsidR="00EB4C2C" w:rsidRPr="006877B7" w:rsidRDefault="00EB4C2C" w:rsidP="00EB4C2C">
      <w:pPr>
        <w:spacing w:line="276" w:lineRule="auto"/>
        <w:jc w:val="both"/>
        <w:rPr>
          <w:rFonts w:ascii="Arial" w:hAnsi="Arial" w:cs="Arial"/>
          <w:sz w:val="36"/>
          <w:szCs w:val="36"/>
          <w:lang w:eastAsia="fr-FR"/>
        </w:rPr>
      </w:pPr>
    </w:p>
    <w:p w14:paraId="34939BA4" w14:textId="77777777" w:rsidR="00EB4C2C" w:rsidRPr="00767913" w:rsidRDefault="00EB4C2C" w:rsidP="00EB4C2C">
      <w:pPr>
        <w:spacing w:line="276" w:lineRule="auto"/>
        <w:jc w:val="both"/>
        <w:rPr>
          <w:rFonts w:ascii="Arial" w:hAnsi="Arial" w:cs="Arial"/>
          <w:sz w:val="28"/>
          <w:szCs w:val="28"/>
          <w:lang w:eastAsia="fr-FR"/>
        </w:rPr>
      </w:pPr>
    </w:p>
    <w:p w14:paraId="1DC6C2B7"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p>
    <w:p w14:paraId="6D289BAD" w14:textId="77777777" w:rsidR="00EB4C2C" w:rsidRDefault="00EB4C2C" w:rsidP="00EB4C2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lang w:eastAsia="fr-FR"/>
        </w:rPr>
      </w:pPr>
      <w:r w:rsidRPr="00767913">
        <w:rPr>
          <w:rFonts w:ascii="Arial" w:hAnsi="Arial" w:cs="Arial"/>
          <w:sz w:val="28"/>
          <w:szCs w:val="28"/>
          <w:lang w:eastAsia="fr-FR"/>
        </w:rPr>
        <w:t>A lire sur le Club des juristes : </w:t>
      </w:r>
      <w:hyperlink r:id="rId15" w:tgtFrame="_blank" w:history="1">
        <w:r w:rsidRPr="00767913">
          <w:rPr>
            <w:rStyle w:val="Lienhypertexte"/>
            <w:rFonts w:ascii="Arial" w:hAnsi="Arial" w:cs="Arial"/>
            <w:sz w:val="28"/>
            <w:szCs w:val="28"/>
            <w:lang w:eastAsia="fr-FR"/>
          </w:rPr>
          <w:t>La Pologne et le respect de l’État de droit : quelques réflexions suscitées par la décision K 3/21 du Tribunal constitutionnel polonais</w:t>
        </w:r>
      </w:hyperlink>
      <w:r w:rsidRPr="00767913">
        <w:rPr>
          <w:rFonts w:ascii="Arial" w:hAnsi="Arial" w:cs="Arial"/>
          <w:sz w:val="28"/>
          <w:szCs w:val="28"/>
          <w:lang w:eastAsia="fr-FR"/>
        </w:rPr>
        <w:t xml:space="preserve">, par Francesco </w:t>
      </w:r>
      <w:proofErr w:type="spellStart"/>
      <w:r w:rsidRPr="00767913">
        <w:rPr>
          <w:rFonts w:ascii="Arial" w:hAnsi="Arial" w:cs="Arial"/>
          <w:sz w:val="28"/>
          <w:szCs w:val="28"/>
          <w:lang w:eastAsia="fr-FR"/>
        </w:rPr>
        <w:t>Martucci</w:t>
      </w:r>
      <w:proofErr w:type="spellEnd"/>
      <w:r w:rsidRPr="00767913">
        <w:rPr>
          <w:rFonts w:ascii="Arial" w:hAnsi="Arial" w:cs="Arial"/>
          <w:sz w:val="28"/>
          <w:szCs w:val="28"/>
          <w:lang w:eastAsia="fr-FR"/>
        </w:rPr>
        <w:t>, Professeur à l’Université Paris II Panthéon-Assas.</w:t>
      </w:r>
    </w:p>
    <w:p w14:paraId="49E93AB3" w14:textId="77777777" w:rsidR="00EB4C2C" w:rsidRDefault="00EB4C2C" w:rsidP="00EB4C2C">
      <w:pPr>
        <w:tabs>
          <w:tab w:val="left" w:pos="2184"/>
        </w:tabs>
        <w:spacing w:line="276" w:lineRule="auto"/>
        <w:jc w:val="both"/>
        <w:rPr>
          <w:rFonts w:ascii="Arial" w:hAnsi="Arial" w:cs="Arial"/>
          <w:sz w:val="36"/>
          <w:szCs w:val="36"/>
        </w:rPr>
      </w:pPr>
      <w:r w:rsidRPr="00D57863">
        <w:rPr>
          <w:rFonts w:ascii="Arial" w:hAnsi="Arial" w:cs="Arial"/>
          <w:sz w:val="36"/>
          <w:szCs w:val="36"/>
          <w:highlight w:val="cyan"/>
        </w:rPr>
        <w:t>Un peu de droit comparé</w:t>
      </w:r>
    </w:p>
    <w:p w14:paraId="137DD2CD" w14:textId="77777777" w:rsidR="00EB4C2C" w:rsidRDefault="00EB4C2C" w:rsidP="00EB4C2C">
      <w:pPr>
        <w:tabs>
          <w:tab w:val="left" w:pos="2184"/>
        </w:tabs>
        <w:spacing w:line="276" w:lineRule="auto"/>
        <w:jc w:val="both"/>
        <w:rPr>
          <w:rFonts w:ascii="Arial" w:hAnsi="Arial" w:cs="Arial"/>
          <w:sz w:val="36"/>
          <w:szCs w:val="36"/>
        </w:rPr>
      </w:pPr>
    </w:p>
    <w:p w14:paraId="5D0CB9EB" w14:textId="77777777" w:rsidR="00EB4C2C" w:rsidRDefault="00EB4C2C" w:rsidP="00EB4C2C">
      <w:pPr>
        <w:pBdr>
          <w:top w:val="single" w:sz="4" w:space="1" w:color="auto"/>
          <w:left w:val="single" w:sz="4" w:space="4" w:color="auto"/>
          <w:bottom w:val="single" w:sz="4" w:space="1" w:color="auto"/>
          <w:right w:val="single" w:sz="4" w:space="4" w:color="auto"/>
        </w:pBdr>
      </w:pPr>
      <w:r>
        <w:rPr>
          <w:sz w:val="36"/>
          <w:szCs w:val="36"/>
        </w:rPr>
        <w:t xml:space="preserve">Se rapporter à  </w:t>
      </w:r>
      <w:hyperlink r:id="rId16" w:history="1">
        <w:r w:rsidRPr="00A51646">
          <w:rPr>
            <w:rStyle w:val="Lienhypertexte"/>
            <w:rFonts w:ascii="Arial" w:hAnsi="Arial" w:cs="Arial"/>
            <w:sz w:val="28"/>
            <w:szCs w:val="28"/>
          </w:rPr>
          <w:t xml:space="preserve">La collection </w:t>
        </w:r>
        <w:proofErr w:type="spellStart"/>
        <w:r w:rsidRPr="00A51646">
          <w:rPr>
            <w:rStyle w:val="Lienhypertexte"/>
            <w:rFonts w:ascii="Arial" w:hAnsi="Arial" w:cs="Arial"/>
            <w:sz w:val="28"/>
            <w:szCs w:val="28"/>
          </w:rPr>
          <w:t>pearltrees</w:t>
        </w:r>
        <w:proofErr w:type="spellEnd"/>
        <w:r w:rsidRPr="00A51646">
          <w:rPr>
            <w:rStyle w:val="Lienhypertexte"/>
            <w:rFonts w:ascii="Arial" w:hAnsi="Arial" w:cs="Arial"/>
            <w:sz w:val="28"/>
            <w:szCs w:val="28"/>
          </w:rPr>
          <w:t xml:space="preserve"> dédiée</w:t>
        </w:r>
      </w:hyperlink>
    </w:p>
    <w:p w14:paraId="4C455618" w14:textId="77777777" w:rsidR="00EB4C2C" w:rsidRDefault="00EB4C2C" w:rsidP="00EB4C2C">
      <w:pPr>
        <w:pBdr>
          <w:top w:val="single" w:sz="4" w:space="1" w:color="auto"/>
          <w:left w:val="single" w:sz="4" w:space="4" w:color="auto"/>
          <w:bottom w:val="single" w:sz="4" w:space="1" w:color="auto"/>
          <w:right w:val="single" w:sz="4" w:space="4" w:color="auto"/>
        </w:pBdr>
        <w:rPr>
          <w:sz w:val="36"/>
          <w:szCs w:val="36"/>
        </w:rPr>
      </w:pPr>
    </w:p>
    <w:p w14:paraId="1B04BBE0" w14:textId="77777777" w:rsidR="00EB4C2C" w:rsidRPr="00914DE8" w:rsidRDefault="00EB4C2C" w:rsidP="00EB4C2C">
      <w:pPr>
        <w:pBdr>
          <w:top w:val="single" w:sz="4" w:space="1" w:color="auto"/>
          <w:left w:val="single" w:sz="4" w:space="4" w:color="auto"/>
          <w:bottom w:val="single" w:sz="4" w:space="1" w:color="auto"/>
          <w:right w:val="single" w:sz="4" w:space="4" w:color="auto"/>
        </w:pBdr>
        <w:rPr>
          <w:rFonts w:ascii="Arial" w:hAnsi="Arial" w:cs="Arial"/>
          <w:sz w:val="28"/>
          <w:szCs w:val="28"/>
        </w:rPr>
      </w:pPr>
      <w:r w:rsidRPr="00914DE8">
        <w:rPr>
          <w:rFonts w:ascii="Arial" w:hAnsi="Arial" w:cs="Arial"/>
          <w:sz w:val="28"/>
          <w:szCs w:val="28"/>
        </w:rPr>
        <w:t xml:space="preserve">Carte de l’avortement en Europe </w:t>
      </w:r>
    </w:p>
    <w:p w14:paraId="1FA83C18" w14:textId="77777777" w:rsidR="00EB4C2C" w:rsidRPr="00914DE8" w:rsidRDefault="00EB4C2C" w:rsidP="00EB4C2C">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41635A5" w14:textId="77777777" w:rsidR="00EB4C2C" w:rsidRDefault="00EB4C2C" w:rsidP="00EB4C2C">
      <w:pPr>
        <w:pBdr>
          <w:top w:val="single" w:sz="4" w:space="1" w:color="auto"/>
          <w:left w:val="single" w:sz="4" w:space="4" w:color="auto"/>
          <w:bottom w:val="single" w:sz="4" w:space="1" w:color="auto"/>
          <w:right w:val="single" w:sz="4" w:space="4" w:color="auto"/>
        </w:pBdr>
        <w:rPr>
          <w:rFonts w:ascii="Arial" w:hAnsi="Arial" w:cs="Arial"/>
          <w:sz w:val="28"/>
          <w:szCs w:val="28"/>
        </w:rPr>
      </w:pPr>
      <w:r w:rsidRPr="00914DE8">
        <w:rPr>
          <w:rFonts w:ascii="Arial" w:hAnsi="Arial" w:cs="Arial"/>
          <w:sz w:val="28"/>
          <w:szCs w:val="28"/>
        </w:rPr>
        <w:t xml:space="preserve"> Le droit à l’avortement en France : loi sur l’allongement des délais pour avorter adoptée en seconde lecture à </w:t>
      </w:r>
      <w:proofErr w:type="gramStart"/>
      <w:r w:rsidRPr="00914DE8">
        <w:rPr>
          <w:rFonts w:ascii="Arial" w:hAnsi="Arial" w:cs="Arial"/>
          <w:sz w:val="28"/>
          <w:szCs w:val="28"/>
        </w:rPr>
        <w:t>l’ AN</w:t>
      </w:r>
      <w:proofErr w:type="gramEnd"/>
      <w:r w:rsidRPr="00914DE8">
        <w:rPr>
          <w:rFonts w:ascii="Arial" w:hAnsi="Arial" w:cs="Arial"/>
          <w:sz w:val="28"/>
          <w:szCs w:val="28"/>
        </w:rPr>
        <w:t>.</w:t>
      </w:r>
    </w:p>
    <w:p w14:paraId="3314B503" w14:textId="77777777" w:rsidR="00EB4C2C" w:rsidRPr="00914DE8" w:rsidRDefault="00EB4C2C" w:rsidP="00EB4C2C">
      <w:pPr>
        <w:pBdr>
          <w:top w:val="single" w:sz="4" w:space="1" w:color="auto"/>
          <w:left w:val="single" w:sz="4" w:space="4" w:color="auto"/>
          <w:bottom w:val="single" w:sz="4" w:space="1" w:color="auto"/>
          <w:right w:val="single" w:sz="4" w:space="4" w:color="auto"/>
        </w:pBdr>
        <w:rPr>
          <w:rFonts w:ascii="Arial" w:hAnsi="Arial" w:cs="Arial"/>
          <w:sz w:val="28"/>
          <w:szCs w:val="28"/>
        </w:rPr>
      </w:pPr>
    </w:p>
    <w:p w14:paraId="3C71052A" w14:textId="77777777" w:rsidR="00EB4C2C" w:rsidRPr="00914DE8" w:rsidRDefault="00EB4C2C" w:rsidP="00EB4C2C">
      <w:pPr>
        <w:pBdr>
          <w:top w:val="single" w:sz="4" w:space="1" w:color="auto"/>
          <w:left w:val="single" w:sz="4" w:space="4" w:color="auto"/>
          <w:bottom w:val="single" w:sz="4" w:space="1" w:color="auto"/>
          <w:right w:val="single" w:sz="4" w:space="4" w:color="auto"/>
        </w:pBdr>
        <w:rPr>
          <w:rFonts w:ascii="Arial" w:hAnsi="Arial" w:cs="Arial"/>
          <w:sz w:val="28"/>
          <w:szCs w:val="28"/>
        </w:rPr>
      </w:pPr>
      <w:r w:rsidRPr="00914DE8">
        <w:rPr>
          <w:rFonts w:ascii="Arial" w:hAnsi="Arial" w:cs="Arial"/>
          <w:sz w:val="28"/>
          <w:szCs w:val="28"/>
        </w:rPr>
        <w:t xml:space="preserve"> La Cour suprême des </w:t>
      </w:r>
      <w:proofErr w:type="spellStart"/>
      <w:r w:rsidRPr="00914DE8">
        <w:rPr>
          <w:rFonts w:ascii="Arial" w:hAnsi="Arial" w:cs="Arial"/>
          <w:sz w:val="28"/>
          <w:szCs w:val="28"/>
        </w:rPr>
        <w:t>Etats-Unis</w:t>
      </w:r>
      <w:proofErr w:type="spellEnd"/>
      <w:r w:rsidRPr="00914DE8">
        <w:rPr>
          <w:rFonts w:ascii="Arial" w:hAnsi="Arial" w:cs="Arial"/>
          <w:sz w:val="28"/>
          <w:szCs w:val="28"/>
        </w:rPr>
        <w:t xml:space="preserve"> et le droit à l’avortement</w:t>
      </w:r>
    </w:p>
    <w:p w14:paraId="56DFE443" w14:textId="77777777" w:rsidR="00EB4C2C" w:rsidRPr="00394D62" w:rsidRDefault="00EB4C2C" w:rsidP="00EB4C2C">
      <w:pPr>
        <w:pBdr>
          <w:top w:val="single" w:sz="4" w:space="1" w:color="auto"/>
          <w:left w:val="single" w:sz="4" w:space="4" w:color="auto"/>
          <w:bottom w:val="single" w:sz="4" w:space="1" w:color="auto"/>
          <w:right w:val="single" w:sz="4" w:space="4" w:color="auto"/>
        </w:pBdr>
        <w:rPr>
          <w:sz w:val="36"/>
          <w:szCs w:val="36"/>
        </w:rPr>
      </w:pPr>
    </w:p>
    <w:p w14:paraId="6644CD88" w14:textId="77777777" w:rsidR="00EB4C2C" w:rsidRPr="00874482" w:rsidRDefault="00EB4C2C" w:rsidP="00EB4C2C">
      <w:pPr>
        <w:spacing w:before="450" w:after="300" w:line="276" w:lineRule="auto"/>
        <w:jc w:val="both"/>
        <w:textAlignment w:val="baseline"/>
        <w:outlineLvl w:val="1"/>
        <w:rPr>
          <w:rFonts w:ascii="Arial" w:hAnsi="Arial" w:cs="Arial"/>
          <w:color w:val="4472C4" w:themeColor="accent1"/>
          <w:sz w:val="31"/>
          <w:szCs w:val="31"/>
        </w:rPr>
      </w:pPr>
    </w:p>
    <w:p w14:paraId="7620F3E4" w14:textId="77777777" w:rsidR="00A92964" w:rsidRDefault="00EB4C2C"/>
    <w:sectPr w:rsidR="00A92964"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2C"/>
    <w:rsid w:val="0055074D"/>
    <w:rsid w:val="005C6737"/>
    <w:rsid w:val="00EB4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629407"/>
  <w14:defaultImageDpi w14:val="32767"/>
  <w15:chartTrackingRefBased/>
  <w15:docId w15:val="{7A3CD431-4DDD-5A43-9220-05C3FD4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C2C"/>
  </w:style>
  <w:style w:type="paragraph" w:styleId="Titre1">
    <w:name w:val="heading 1"/>
    <w:basedOn w:val="Normal"/>
    <w:link w:val="Titre1Car"/>
    <w:uiPriority w:val="9"/>
    <w:qFormat/>
    <w:rsid w:val="00EB4C2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4C2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B4C2C"/>
    <w:rPr>
      <w:color w:val="0563C1" w:themeColor="hyperlink"/>
      <w:u w:val="single"/>
    </w:rPr>
  </w:style>
  <w:style w:type="paragraph" w:customStyle="1" w:styleId="paragraphesansretrait">
    <w:name w:val="paragraphesansretrait"/>
    <w:basedOn w:val="Normal"/>
    <w:rsid w:val="00EB4C2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B4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fre?i=001-66445" TargetMode="External"/><Relationship Id="rId13" Type="http://schemas.openxmlformats.org/officeDocument/2006/relationships/hyperlink" Target="http://hudoc.echr.coe.int/fre?i=001-11443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gemc.ac-versailles.fr/spip.php?article1156" TargetMode="External"/><Relationship Id="rId12" Type="http://schemas.openxmlformats.org/officeDocument/2006/relationships/hyperlink" Target="http://hudoc.echr.coe.int/fre?i=001-1049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earltrees.com/private/id49398588?access=185152cbdbc.2f1c33c.a370b1adf720d68c178d5fe1b648252f" TargetMode="External"/><Relationship Id="rId1" Type="http://schemas.openxmlformats.org/officeDocument/2006/relationships/styles" Target="styles.xml"/><Relationship Id="rId6" Type="http://schemas.openxmlformats.org/officeDocument/2006/relationships/hyperlink" Target="http://journals.openedition.org/revdh/3585" TargetMode="External"/><Relationship Id="rId11" Type="http://schemas.openxmlformats.org/officeDocument/2006/relationships/hyperlink" Target="http://hudoc.echr.coe.int/fre?i=001-102335" TargetMode="External"/><Relationship Id="rId5" Type="http://schemas.openxmlformats.org/officeDocument/2006/relationships/hyperlink" Target="https://www.pearltrees.com/private/id49398588?access=185152cbdbc.2f1c33c.a370b1adf720d68c178d5fe1b648252f" TargetMode="External"/><Relationship Id="rId15" Type="http://schemas.openxmlformats.org/officeDocument/2006/relationships/hyperlink" Target="https://blog.leclubdesjuristes.com/la-pologne-et-le-respect-de-letat-de-droit-quelques-reflexions-suscitees-par-la-decision-k-3-21-du-tribunal-constitutionnel-polonais/" TargetMode="External"/><Relationship Id="rId10" Type="http://schemas.openxmlformats.org/officeDocument/2006/relationships/hyperlink" Target="https://doi.org/10.4000/revdh.10668" TargetMode="External"/><Relationship Id="rId4" Type="http://schemas.openxmlformats.org/officeDocument/2006/relationships/hyperlink" Target="https://dgemc.ac-versailles.fr/spip.php?article1012" TargetMode="External"/><Relationship Id="rId9" Type="http://schemas.openxmlformats.org/officeDocument/2006/relationships/hyperlink" Target="https://trybunal.gov.pl/postepowanie-i-orzeczenia/wyroki/art/11300-planowanie-rodziny-ochrona-plodu-ludzkiego-i-warunki-dopuszczalnosci-przerywania-ciazy" TargetMode="External"/><Relationship Id="rId14" Type="http://schemas.openxmlformats.org/officeDocument/2006/relationships/hyperlink" Target="https://rm.coe.int/sante-et-droits-sexuels-et-reproductifs-des-femmes-en-europe-document-/168076df73%2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2243</Words>
  <Characters>12341</Characters>
  <Application>Microsoft Office Word</Application>
  <DocSecurity>0</DocSecurity>
  <Lines>102</Lines>
  <Paragraphs>29</Paragraphs>
  <ScaleCrop>false</ScaleCrop>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1</cp:revision>
  <dcterms:created xsi:type="dcterms:W3CDTF">2021-12-17T16:35:00Z</dcterms:created>
  <dcterms:modified xsi:type="dcterms:W3CDTF">2021-12-17T16:36:00Z</dcterms:modified>
</cp:coreProperties>
</file>